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660BE" w14:textId="77777777" w:rsidR="00760FF7" w:rsidRPr="009C473D" w:rsidRDefault="002D2AA1" w:rsidP="00760FF7">
      <w:pPr>
        <w:jc w:val="center"/>
        <w:rPr>
          <w:rFonts w:ascii="Times New Roman" w:hAnsi="Times New Roman" w:cs="Times New Roman"/>
          <w:b/>
          <w:sz w:val="32"/>
          <w:szCs w:val="32"/>
        </w:rPr>
      </w:pPr>
      <w:r>
        <w:rPr>
          <w:rFonts w:ascii="Times New Roman" w:hAnsi="Times New Roman" w:cs="Times New Roman"/>
          <w:b/>
          <w:sz w:val="32"/>
          <w:szCs w:val="32"/>
        </w:rPr>
        <w:t xml:space="preserve">Annual Assessment Report </w:t>
      </w:r>
      <w:r w:rsidR="00922D75">
        <w:rPr>
          <w:rFonts w:ascii="Times New Roman" w:hAnsi="Times New Roman" w:cs="Times New Roman"/>
          <w:b/>
          <w:sz w:val="32"/>
          <w:szCs w:val="32"/>
        </w:rPr>
        <w:t>for 2020-2021</w:t>
      </w:r>
      <w:r w:rsidR="00760FF7" w:rsidRPr="009C473D">
        <w:rPr>
          <w:rFonts w:ascii="Times New Roman" w:hAnsi="Times New Roman" w:cs="Times New Roman"/>
          <w:b/>
          <w:sz w:val="32"/>
          <w:szCs w:val="32"/>
        </w:rPr>
        <w:t xml:space="preserve"> AY</w:t>
      </w:r>
    </w:p>
    <w:p w14:paraId="771A38DB" w14:textId="77777777"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w:t>
      </w:r>
      <w:r w:rsidR="00922D75">
        <w:rPr>
          <w:rFonts w:ascii="Times New Roman" w:hAnsi="Times New Roman" w:cs="Times New Roman"/>
          <w:sz w:val="24"/>
          <w:szCs w:val="24"/>
        </w:rPr>
        <w:t>ties carried out during the 2020-2021</w:t>
      </w:r>
      <w:r w:rsidR="009C473D">
        <w:rPr>
          <w:rFonts w:ascii="Times New Roman" w:hAnsi="Times New Roman" w:cs="Times New Roman"/>
          <w:sz w:val="24"/>
          <w:szCs w:val="24"/>
        </w:rPr>
        <w:t xml:space="preserve"> AY</w:t>
      </w:r>
      <w:r w:rsidR="00E56C83">
        <w:rPr>
          <w:rFonts w:ascii="Times New Roman" w:hAnsi="Times New Roman" w:cs="Times New Roman"/>
          <w:sz w:val="24"/>
          <w:szCs w:val="24"/>
        </w:rPr>
        <w:t xml:space="preserve"> will be due September </w:t>
      </w:r>
      <w:r w:rsidRPr="00760FF7">
        <w:rPr>
          <w:rFonts w:ascii="Times New Roman" w:hAnsi="Times New Roman" w:cs="Times New Roman"/>
          <w:sz w:val="24"/>
          <w:szCs w:val="24"/>
        </w:rPr>
        <w:t>30</w:t>
      </w:r>
      <w:r w:rsidRPr="00760FF7">
        <w:rPr>
          <w:rFonts w:ascii="Times New Roman" w:hAnsi="Times New Roman" w:cs="Times New Roman"/>
          <w:sz w:val="24"/>
          <w:szCs w:val="24"/>
          <w:vertAlign w:val="superscript"/>
        </w:rPr>
        <w:t>th</w:t>
      </w:r>
      <w:proofErr w:type="gramStart"/>
      <w:r w:rsidR="0040569B">
        <w:rPr>
          <w:rFonts w:ascii="Times New Roman" w:hAnsi="Times New Roman" w:cs="Times New Roman"/>
          <w:sz w:val="24"/>
          <w:szCs w:val="24"/>
        </w:rPr>
        <w:t xml:space="preserve"> 2021</w:t>
      </w:r>
      <w:proofErr w:type="gramEnd"/>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40569B">
        <w:rPr>
          <w:rFonts w:ascii="Times New Roman" w:hAnsi="Times New Roman" w:cs="Times New Roman"/>
          <w:sz w:val="24"/>
          <w:szCs w:val="24"/>
        </w:rPr>
        <w:t>Douglas Fraleigh (douglasf@csufresno.edu</w:t>
      </w:r>
      <w:r w:rsidR="006464C6">
        <w:rPr>
          <w:rFonts w:ascii="Times New Roman" w:hAnsi="Times New Roman" w:cs="Times New Roman"/>
          <w:sz w:val="24"/>
          <w:szCs w:val="24"/>
        </w:rPr>
        <w:t>).</w:t>
      </w:r>
    </w:p>
    <w:p w14:paraId="44040F9C" w14:textId="77777777"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w:t>
      </w:r>
      <w:r w:rsidR="0040569B">
        <w:rPr>
          <w:rFonts w:ascii="Times New Roman" w:hAnsi="Times New Roman" w:cs="Times New Roman"/>
          <w:sz w:val="24"/>
          <w:szCs w:val="24"/>
        </w:rPr>
        <w:t xml:space="preserve">or add formatting. For purposes of this report, you should only report </w:t>
      </w:r>
      <w:r>
        <w:rPr>
          <w:rFonts w:ascii="Times New Roman" w:hAnsi="Times New Roman" w:cs="Times New Roman"/>
          <w:sz w:val="24"/>
          <w:szCs w:val="24"/>
        </w:rPr>
        <w:t xml:space="preserve">on two or three student learning outcomes </w:t>
      </w:r>
      <w:r w:rsidR="0040569B">
        <w:rPr>
          <w:rFonts w:ascii="Times New Roman" w:hAnsi="Times New Roman" w:cs="Times New Roman"/>
          <w:sz w:val="24"/>
          <w:szCs w:val="24"/>
        </w:rPr>
        <w:t xml:space="preserve">(department’s choice) </w:t>
      </w:r>
      <w:r>
        <w:rPr>
          <w:rFonts w:ascii="Times New Roman" w:hAnsi="Times New Roman" w:cs="Times New Roman"/>
          <w:sz w:val="24"/>
          <w:szCs w:val="24"/>
        </w:rPr>
        <w:t>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14:paraId="6AD7BCCB" w14:textId="77777777" w:rsidR="0040569B" w:rsidRDefault="0040569B">
      <w:pPr>
        <w:rPr>
          <w:rFonts w:ascii="Times New Roman" w:hAnsi="Times New Roman" w:cs="Times New Roman"/>
          <w:sz w:val="24"/>
          <w:szCs w:val="24"/>
        </w:rPr>
      </w:pPr>
    </w:p>
    <w:p w14:paraId="7A0035A9" w14:textId="77777777" w:rsidR="00A43758" w:rsidRDefault="00537657">
      <w:pPr>
        <w:rPr>
          <w:rFonts w:ascii="Times New Roman" w:hAnsi="Times New Roman" w:cs="Times New Roman"/>
          <w:sz w:val="24"/>
          <w:szCs w:val="24"/>
        </w:rPr>
      </w:pPr>
      <w:r w:rsidRPr="00A43758">
        <w:rPr>
          <w:rFonts w:ascii="Times New Roman" w:hAnsi="Times New Roman" w:cs="Times New Roman"/>
          <w:b/>
          <w:bCs/>
          <w:sz w:val="24"/>
          <w:szCs w:val="24"/>
        </w:rPr>
        <w:t>Department/Program:</w:t>
      </w:r>
      <w:r w:rsidR="007637B2">
        <w:rPr>
          <w:rFonts w:ascii="Times New Roman" w:hAnsi="Times New Roman" w:cs="Times New Roman"/>
          <w:sz w:val="24"/>
          <w:szCs w:val="24"/>
        </w:rPr>
        <w:t xml:space="preserve">  School of </w:t>
      </w:r>
      <w:r w:rsidR="00A43758">
        <w:rPr>
          <w:rFonts w:ascii="Times New Roman" w:hAnsi="Times New Roman" w:cs="Times New Roman"/>
          <w:sz w:val="24"/>
          <w:szCs w:val="24"/>
        </w:rPr>
        <w:t>Nursing</w:t>
      </w:r>
    </w:p>
    <w:p w14:paraId="581EE193" w14:textId="252AE726" w:rsidR="0040569B" w:rsidRDefault="00A43758">
      <w:pPr>
        <w:rPr>
          <w:rFonts w:ascii="Times New Roman" w:hAnsi="Times New Roman" w:cs="Times New Roman"/>
          <w:sz w:val="24"/>
          <w:szCs w:val="24"/>
        </w:rPr>
      </w:pPr>
      <w:r w:rsidRPr="00A43758">
        <w:rPr>
          <w:rFonts w:ascii="Times New Roman" w:hAnsi="Times New Roman" w:cs="Times New Roman"/>
          <w:b/>
          <w:bCs/>
          <w:sz w:val="24"/>
          <w:szCs w:val="24"/>
        </w:rPr>
        <w:t xml:space="preserve"> </w:t>
      </w:r>
      <w:proofErr w:type="gramStart"/>
      <w:r w:rsidRPr="00A43758">
        <w:rPr>
          <w:rFonts w:ascii="Times New Roman" w:hAnsi="Times New Roman" w:cs="Times New Roman"/>
          <w:b/>
          <w:bCs/>
          <w:sz w:val="24"/>
          <w:szCs w:val="24"/>
        </w:rPr>
        <w:t>Degree</w:t>
      </w:r>
      <w:r w:rsidR="00537657">
        <w:rPr>
          <w:rFonts w:ascii="Times New Roman" w:hAnsi="Times New Roman" w:cs="Times New Roman"/>
          <w:sz w:val="24"/>
          <w:szCs w:val="24"/>
        </w:rPr>
        <w:t xml:space="preserve"> </w:t>
      </w:r>
      <w:r w:rsidR="007637B2">
        <w:rPr>
          <w:rFonts w:ascii="Times New Roman" w:hAnsi="Times New Roman" w:cs="Times New Roman"/>
          <w:sz w:val="24"/>
          <w:szCs w:val="24"/>
        </w:rPr>
        <w:t xml:space="preserve"> BS</w:t>
      </w:r>
      <w:r>
        <w:rPr>
          <w:rFonts w:ascii="Times New Roman" w:hAnsi="Times New Roman" w:cs="Times New Roman"/>
          <w:sz w:val="24"/>
          <w:szCs w:val="24"/>
        </w:rPr>
        <w:t>N</w:t>
      </w:r>
      <w:proofErr w:type="gramEnd"/>
    </w:p>
    <w:p w14:paraId="7FD3FE92" w14:textId="79F26FAC" w:rsidR="00537657" w:rsidRDefault="00537657">
      <w:pPr>
        <w:rPr>
          <w:rFonts w:ascii="Times New Roman" w:hAnsi="Times New Roman" w:cs="Times New Roman"/>
          <w:sz w:val="24"/>
          <w:szCs w:val="24"/>
        </w:rPr>
      </w:pPr>
      <w:r w:rsidRPr="00A43758">
        <w:rPr>
          <w:rFonts w:ascii="Times New Roman" w:hAnsi="Times New Roman" w:cs="Times New Roman"/>
          <w:b/>
          <w:bCs/>
          <w:sz w:val="24"/>
          <w:szCs w:val="24"/>
        </w:rPr>
        <w:t>Assessment Coordinator:</w:t>
      </w:r>
      <w:r>
        <w:rPr>
          <w:rFonts w:ascii="Times New Roman" w:hAnsi="Times New Roman" w:cs="Times New Roman"/>
          <w:sz w:val="24"/>
          <w:szCs w:val="24"/>
        </w:rPr>
        <w:t xml:space="preserve"> </w:t>
      </w:r>
      <w:r w:rsidR="007637B2">
        <w:rPr>
          <w:rFonts w:ascii="Times New Roman" w:hAnsi="Times New Roman" w:cs="Times New Roman"/>
          <w:sz w:val="24"/>
          <w:szCs w:val="24"/>
        </w:rPr>
        <w:t xml:space="preserve">  Janine A. Spencer</w:t>
      </w:r>
    </w:p>
    <w:p w14:paraId="02DA267F" w14:textId="77777777" w:rsidR="00760FF7" w:rsidRDefault="0074718C"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list the learning outcomes you assessed this year</w:t>
      </w:r>
      <w:r w:rsidR="009C473D">
        <w:rPr>
          <w:rFonts w:ascii="Times New Roman" w:hAnsi="Times New Roman" w:cs="Times New Roman"/>
          <w:sz w:val="24"/>
          <w:szCs w:val="24"/>
        </w:rPr>
        <w:t>.</w:t>
      </w:r>
    </w:p>
    <w:p w14:paraId="34506942" w14:textId="77777777" w:rsidR="00CF1F36" w:rsidRDefault="00CF1F36" w:rsidP="00CF1F36">
      <w:pPr>
        <w:pStyle w:val="TableParagraph"/>
        <w:spacing w:line="219" w:lineRule="exact"/>
        <w:ind w:left="102"/>
        <w:rPr>
          <w:rFonts w:ascii="Trebuchet MS"/>
          <w:spacing w:val="-5"/>
          <w:sz w:val="20"/>
        </w:rPr>
      </w:pPr>
      <w:r>
        <w:rPr>
          <w:rFonts w:ascii="Times New Roman" w:hAnsi="Times New Roman" w:cs="Times New Roman"/>
          <w:sz w:val="24"/>
          <w:szCs w:val="24"/>
        </w:rPr>
        <w:t xml:space="preserve">             </w:t>
      </w:r>
      <w:r>
        <w:rPr>
          <w:rFonts w:ascii="Trebuchet MS"/>
          <w:b/>
          <w:spacing w:val="-1"/>
          <w:sz w:val="20"/>
        </w:rPr>
        <w:t>Goal</w:t>
      </w:r>
      <w:r>
        <w:rPr>
          <w:rFonts w:ascii="Trebuchet MS"/>
          <w:b/>
          <w:spacing w:val="-9"/>
          <w:sz w:val="20"/>
        </w:rPr>
        <w:t xml:space="preserve"> </w:t>
      </w:r>
      <w:r>
        <w:rPr>
          <w:rFonts w:ascii="Trebuchet MS"/>
          <w:b/>
          <w:sz w:val="20"/>
        </w:rPr>
        <w:t>15:</w:t>
      </w:r>
      <w:r>
        <w:rPr>
          <w:rFonts w:ascii="Trebuchet MS"/>
          <w:b/>
          <w:spacing w:val="-7"/>
          <w:sz w:val="20"/>
        </w:rPr>
        <w:t xml:space="preserve"> </w:t>
      </w:r>
      <w:r>
        <w:rPr>
          <w:rFonts w:ascii="Trebuchet MS"/>
          <w:spacing w:val="-1"/>
          <w:sz w:val="20"/>
        </w:rPr>
        <w:t>Apply</w:t>
      </w:r>
      <w:r>
        <w:rPr>
          <w:rFonts w:ascii="Trebuchet MS"/>
          <w:spacing w:val="-5"/>
          <w:sz w:val="20"/>
        </w:rPr>
        <w:t xml:space="preserve"> </w:t>
      </w:r>
      <w:r>
        <w:rPr>
          <w:rFonts w:ascii="Trebuchet MS"/>
          <w:spacing w:val="-1"/>
          <w:sz w:val="20"/>
        </w:rPr>
        <w:t>leadership concepts,</w:t>
      </w:r>
      <w:r>
        <w:rPr>
          <w:rFonts w:ascii="Trebuchet MS"/>
          <w:spacing w:val="-10"/>
          <w:sz w:val="20"/>
        </w:rPr>
        <w:t xml:space="preserve"> </w:t>
      </w:r>
      <w:r>
        <w:rPr>
          <w:rFonts w:ascii="Trebuchet MS"/>
          <w:spacing w:val="-1"/>
          <w:sz w:val="20"/>
        </w:rPr>
        <w:t>skills,</w:t>
      </w:r>
      <w:r>
        <w:rPr>
          <w:rFonts w:ascii="Trebuchet MS"/>
          <w:spacing w:val="-10"/>
          <w:sz w:val="20"/>
        </w:rPr>
        <w:t xml:space="preserve"> </w:t>
      </w:r>
      <w:r>
        <w:rPr>
          <w:rFonts w:ascii="Trebuchet MS"/>
          <w:sz w:val="20"/>
        </w:rPr>
        <w:t>and</w:t>
      </w:r>
      <w:r>
        <w:rPr>
          <w:rFonts w:ascii="Trebuchet MS"/>
          <w:spacing w:val="-8"/>
          <w:sz w:val="20"/>
        </w:rPr>
        <w:t xml:space="preserve"> </w:t>
      </w:r>
      <w:r>
        <w:rPr>
          <w:rFonts w:ascii="Trebuchet MS"/>
          <w:sz w:val="20"/>
        </w:rPr>
        <w:t>decision</w:t>
      </w:r>
      <w:r>
        <w:rPr>
          <w:rFonts w:ascii="Trebuchet MS"/>
          <w:spacing w:val="32"/>
          <w:w w:val="99"/>
          <w:sz w:val="20"/>
        </w:rPr>
        <w:t xml:space="preserve"> </w:t>
      </w:r>
      <w:r>
        <w:rPr>
          <w:rFonts w:ascii="Trebuchet MS"/>
          <w:sz w:val="20"/>
        </w:rPr>
        <w:t>making</w:t>
      </w:r>
      <w:r>
        <w:rPr>
          <w:rFonts w:ascii="Trebuchet MS"/>
          <w:spacing w:val="-5"/>
          <w:sz w:val="20"/>
        </w:rPr>
        <w:t xml:space="preserve"> </w:t>
      </w:r>
      <w:r>
        <w:rPr>
          <w:rFonts w:ascii="Trebuchet MS"/>
          <w:sz w:val="20"/>
        </w:rPr>
        <w:t>in</w:t>
      </w:r>
      <w:r>
        <w:rPr>
          <w:rFonts w:ascii="Trebuchet MS"/>
          <w:spacing w:val="-6"/>
          <w:sz w:val="20"/>
        </w:rPr>
        <w:t xml:space="preserve"> </w:t>
      </w:r>
      <w:r>
        <w:rPr>
          <w:rFonts w:ascii="Trebuchet MS"/>
          <w:sz w:val="20"/>
        </w:rPr>
        <w:t>the</w:t>
      </w:r>
      <w:r>
        <w:rPr>
          <w:rFonts w:ascii="Trebuchet MS"/>
          <w:spacing w:val="-6"/>
          <w:sz w:val="20"/>
        </w:rPr>
        <w:t xml:space="preserve"> </w:t>
      </w:r>
      <w:r>
        <w:rPr>
          <w:rFonts w:ascii="Trebuchet MS"/>
          <w:sz w:val="20"/>
        </w:rPr>
        <w:t>provision</w:t>
      </w:r>
      <w:r>
        <w:rPr>
          <w:rFonts w:ascii="Trebuchet MS"/>
          <w:spacing w:val="-6"/>
          <w:sz w:val="20"/>
        </w:rPr>
        <w:t xml:space="preserve"> </w:t>
      </w:r>
      <w:r>
        <w:rPr>
          <w:rFonts w:ascii="Trebuchet MS"/>
          <w:sz w:val="20"/>
        </w:rPr>
        <w:t>of</w:t>
      </w:r>
      <w:r>
        <w:rPr>
          <w:rFonts w:ascii="Trebuchet MS"/>
          <w:spacing w:val="-7"/>
          <w:sz w:val="20"/>
        </w:rPr>
        <w:t xml:space="preserve"> </w:t>
      </w:r>
      <w:r>
        <w:rPr>
          <w:rFonts w:ascii="Trebuchet MS"/>
          <w:spacing w:val="-1"/>
          <w:sz w:val="20"/>
        </w:rPr>
        <w:t>high</w:t>
      </w:r>
      <w:r>
        <w:rPr>
          <w:rFonts w:ascii="Trebuchet MS"/>
          <w:spacing w:val="27"/>
          <w:w w:val="99"/>
          <w:sz w:val="20"/>
        </w:rPr>
        <w:t xml:space="preserve"> </w:t>
      </w:r>
      <w:r>
        <w:rPr>
          <w:rFonts w:ascii="Trebuchet MS"/>
          <w:spacing w:val="-1"/>
          <w:sz w:val="20"/>
        </w:rPr>
        <w:t>quality</w:t>
      </w:r>
      <w:r>
        <w:rPr>
          <w:rFonts w:ascii="Trebuchet MS"/>
          <w:spacing w:val="-5"/>
          <w:sz w:val="20"/>
        </w:rPr>
        <w:t xml:space="preserve">  </w:t>
      </w:r>
    </w:p>
    <w:p w14:paraId="509ADF85" w14:textId="0526F236" w:rsidR="00760FF7" w:rsidRDefault="00CF1F36" w:rsidP="00CF1F36">
      <w:pPr>
        <w:pStyle w:val="TableParagraph"/>
        <w:spacing w:line="219" w:lineRule="exact"/>
        <w:ind w:left="102"/>
        <w:rPr>
          <w:rFonts w:ascii="Trebuchet MS"/>
          <w:sz w:val="20"/>
        </w:rPr>
      </w:pPr>
      <w:r>
        <w:rPr>
          <w:rFonts w:ascii="Trebuchet MS"/>
          <w:b/>
          <w:spacing w:val="-1"/>
          <w:sz w:val="20"/>
        </w:rPr>
        <w:t xml:space="preserve">              </w:t>
      </w:r>
      <w:r>
        <w:rPr>
          <w:rFonts w:ascii="Trebuchet MS"/>
          <w:spacing w:val="-1"/>
          <w:sz w:val="20"/>
        </w:rPr>
        <w:t>nursing</w:t>
      </w:r>
      <w:r>
        <w:rPr>
          <w:rFonts w:ascii="Trebuchet MS"/>
          <w:spacing w:val="-5"/>
          <w:sz w:val="20"/>
        </w:rPr>
        <w:t xml:space="preserve"> </w:t>
      </w:r>
      <w:r>
        <w:rPr>
          <w:rFonts w:ascii="Trebuchet MS"/>
          <w:sz w:val="20"/>
        </w:rPr>
        <w:t>care,</w:t>
      </w:r>
      <w:r>
        <w:rPr>
          <w:rFonts w:ascii="Trebuchet MS"/>
          <w:spacing w:val="-8"/>
          <w:sz w:val="20"/>
        </w:rPr>
        <w:t xml:space="preserve"> </w:t>
      </w:r>
      <w:r>
        <w:rPr>
          <w:rFonts w:ascii="Trebuchet MS"/>
          <w:sz w:val="20"/>
        </w:rPr>
        <w:t>and</w:t>
      </w:r>
      <w:r>
        <w:rPr>
          <w:rFonts w:ascii="Trebuchet MS"/>
          <w:spacing w:val="-7"/>
          <w:sz w:val="20"/>
        </w:rPr>
        <w:t xml:space="preserve"> </w:t>
      </w:r>
      <w:r>
        <w:rPr>
          <w:rFonts w:ascii="Trebuchet MS"/>
          <w:sz w:val="20"/>
        </w:rPr>
        <w:t>the</w:t>
      </w:r>
      <w:r>
        <w:rPr>
          <w:rFonts w:ascii="Trebuchet MS"/>
          <w:spacing w:val="22"/>
          <w:w w:val="99"/>
          <w:sz w:val="20"/>
        </w:rPr>
        <w:t xml:space="preserve"> </w:t>
      </w:r>
      <w:r>
        <w:rPr>
          <w:rFonts w:ascii="Trebuchet MS"/>
          <w:sz w:val="20"/>
        </w:rPr>
        <w:t>coordination</w:t>
      </w:r>
      <w:r>
        <w:rPr>
          <w:rFonts w:ascii="Trebuchet MS"/>
          <w:spacing w:val="-8"/>
          <w:sz w:val="20"/>
        </w:rPr>
        <w:t xml:space="preserve"> </w:t>
      </w:r>
      <w:r>
        <w:rPr>
          <w:rFonts w:ascii="Trebuchet MS"/>
          <w:sz w:val="20"/>
        </w:rPr>
        <w:t>of</w:t>
      </w:r>
      <w:r>
        <w:rPr>
          <w:rFonts w:ascii="Trebuchet MS"/>
          <w:spacing w:val="-6"/>
          <w:sz w:val="20"/>
        </w:rPr>
        <w:t xml:space="preserve"> </w:t>
      </w:r>
      <w:r>
        <w:rPr>
          <w:rFonts w:ascii="Trebuchet MS"/>
          <w:spacing w:val="-1"/>
          <w:sz w:val="20"/>
        </w:rPr>
        <w:t>the</w:t>
      </w:r>
      <w:r>
        <w:rPr>
          <w:rFonts w:ascii="Trebuchet MS"/>
          <w:spacing w:val="-5"/>
          <w:sz w:val="20"/>
        </w:rPr>
        <w:t xml:space="preserve"> </w:t>
      </w:r>
      <w:r>
        <w:rPr>
          <w:rFonts w:ascii="Trebuchet MS"/>
          <w:spacing w:val="-1"/>
          <w:sz w:val="20"/>
        </w:rPr>
        <w:t>health</w:t>
      </w:r>
      <w:r>
        <w:rPr>
          <w:rFonts w:ascii="Trebuchet MS"/>
          <w:spacing w:val="-4"/>
          <w:sz w:val="20"/>
        </w:rPr>
        <w:t xml:space="preserve"> </w:t>
      </w:r>
      <w:r>
        <w:rPr>
          <w:rFonts w:ascii="Trebuchet MS"/>
          <w:spacing w:val="-1"/>
          <w:sz w:val="20"/>
        </w:rPr>
        <w:t>care</w:t>
      </w:r>
      <w:r>
        <w:rPr>
          <w:rFonts w:ascii="Trebuchet MS"/>
          <w:spacing w:val="20"/>
          <w:w w:val="99"/>
          <w:sz w:val="20"/>
        </w:rPr>
        <w:t xml:space="preserve"> </w:t>
      </w:r>
      <w:r>
        <w:rPr>
          <w:rFonts w:ascii="Trebuchet MS"/>
          <w:sz w:val="20"/>
        </w:rPr>
        <w:t>team.</w:t>
      </w:r>
    </w:p>
    <w:p w14:paraId="4226B817" w14:textId="77777777" w:rsidR="00CF1F36" w:rsidRPr="00760FF7" w:rsidRDefault="00CF1F36" w:rsidP="00CF1F36">
      <w:pPr>
        <w:pStyle w:val="TableParagraph"/>
        <w:spacing w:line="219" w:lineRule="exact"/>
        <w:ind w:left="102"/>
        <w:rPr>
          <w:rFonts w:ascii="Times New Roman" w:hAnsi="Times New Roman" w:cs="Times New Roman"/>
          <w:sz w:val="24"/>
          <w:szCs w:val="24"/>
        </w:rPr>
      </w:pPr>
    </w:p>
    <w:p w14:paraId="607DCEAB" w14:textId="6976F509" w:rsidR="00760FF7" w:rsidRDefault="00760FF7" w:rsidP="00760FF7">
      <w:pPr>
        <w:pStyle w:val="ListParagraph"/>
        <w:numPr>
          <w:ilvl w:val="0"/>
          <w:numId w:val="1"/>
        </w:numPr>
        <w:rPr>
          <w:rFonts w:ascii="Times New Roman" w:hAnsi="Times New Roman" w:cs="Times New Roman"/>
          <w:b/>
          <w:sz w:val="24"/>
          <w:szCs w:val="24"/>
        </w:rPr>
      </w:pPr>
      <w:r w:rsidRPr="00332BB6">
        <w:rPr>
          <w:rFonts w:ascii="Times New Roman" w:hAnsi="Times New Roman" w:cs="Times New Roman"/>
          <w:sz w:val="24"/>
          <w:szCs w:val="24"/>
        </w:rPr>
        <w:t>What assignment or survey did you use to assess the outcomes and what method (criteria or rubric) did you use to evaluate the assignment?</w:t>
      </w:r>
      <w:r>
        <w:rPr>
          <w:rFonts w:ascii="Times New Roman" w:hAnsi="Times New Roman" w:cs="Times New Roman"/>
          <w:sz w:val="24"/>
          <w:szCs w:val="24"/>
        </w:rPr>
        <w:t xml:space="preserve"> </w:t>
      </w:r>
      <w:r w:rsidR="0074718C">
        <w:rPr>
          <w:rFonts w:ascii="Times New Roman" w:hAnsi="Times New Roman" w:cs="Times New Roman"/>
          <w:b/>
          <w:sz w:val="24"/>
          <w:szCs w:val="24"/>
        </w:rPr>
        <w:t xml:space="preserve">Please </w:t>
      </w:r>
      <w:r w:rsidRPr="00760FF7">
        <w:rPr>
          <w:rFonts w:ascii="Times New Roman" w:hAnsi="Times New Roman" w:cs="Times New Roman"/>
          <w:b/>
          <w:sz w:val="24"/>
          <w:szCs w:val="24"/>
        </w:rPr>
        <w:t>describe the assignment and the criteria or rubric used to eval</w:t>
      </w:r>
      <w:r w:rsidR="0074718C">
        <w:rPr>
          <w:rFonts w:ascii="Times New Roman" w:hAnsi="Times New Roman" w:cs="Times New Roman"/>
          <w:b/>
          <w:sz w:val="24"/>
          <w:szCs w:val="24"/>
        </w:rPr>
        <w:t xml:space="preserve">uate the assignment in detail and, if possible, </w:t>
      </w:r>
      <w:r w:rsidRPr="00760FF7">
        <w:rPr>
          <w:rFonts w:ascii="Times New Roman" w:hAnsi="Times New Roman" w:cs="Times New Roman"/>
          <w:b/>
          <w:sz w:val="24"/>
          <w:szCs w:val="24"/>
        </w:rPr>
        <w:t xml:space="preserve">include copies of the assignment and criteria/rubric at the end of this report. </w:t>
      </w:r>
    </w:p>
    <w:p w14:paraId="13A3371C" w14:textId="77777777" w:rsidR="00C75DB7" w:rsidRDefault="00C75DB7" w:rsidP="00C75DB7">
      <w:pPr>
        <w:pStyle w:val="ListParagraph"/>
        <w:rPr>
          <w:rFonts w:ascii="Times New Roman" w:hAnsi="Times New Roman" w:cs="Times New Roman"/>
          <w:b/>
          <w:sz w:val="24"/>
          <w:szCs w:val="24"/>
        </w:rPr>
      </w:pPr>
    </w:p>
    <w:p w14:paraId="08D9EC31" w14:textId="1616AA53" w:rsidR="00C75DB7" w:rsidRDefault="00C75DB7" w:rsidP="00C75DB7">
      <w:pPr>
        <w:pStyle w:val="ListParagraph"/>
        <w:rPr>
          <w:rFonts w:ascii="Times New Roman" w:hAnsi="Times New Roman" w:cs="Times New Roman"/>
          <w:b/>
          <w:sz w:val="24"/>
          <w:szCs w:val="24"/>
        </w:rPr>
      </w:pPr>
      <w:r>
        <w:rPr>
          <w:rFonts w:ascii="Times New Roman" w:hAnsi="Times New Roman" w:cs="Times New Roman"/>
          <w:b/>
          <w:sz w:val="24"/>
          <w:szCs w:val="24"/>
        </w:rPr>
        <w:t xml:space="preserve">The assignment that was utilized to determine mastery of Goal 15 was the Preceptor Evaluation of the Student.  This evaluation is conducted in the final semester and </w:t>
      </w:r>
      <w:proofErr w:type="gramStart"/>
      <w:r>
        <w:rPr>
          <w:rFonts w:ascii="Times New Roman" w:hAnsi="Times New Roman" w:cs="Times New Roman"/>
          <w:b/>
          <w:sz w:val="24"/>
          <w:szCs w:val="24"/>
        </w:rPr>
        <w:t>is a reflection of</w:t>
      </w:r>
      <w:proofErr w:type="gramEnd"/>
      <w:r>
        <w:rPr>
          <w:rFonts w:ascii="Times New Roman" w:hAnsi="Times New Roman" w:cs="Times New Roman"/>
          <w:b/>
          <w:sz w:val="24"/>
          <w:szCs w:val="24"/>
        </w:rPr>
        <w:t xml:space="preserve"> the student’s overall clinical competency.  The agency assigned preceptor provides feedback on the student’s performance. (The assessment doc</w:t>
      </w:r>
      <w:r w:rsidR="00A43758">
        <w:rPr>
          <w:rFonts w:ascii="Times New Roman" w:hAnsi="Times New Roman" w:cs="Times New Roman"/>
          <w:b/>
          <w:sz w:val="24"/>
          <w:szCs w:val="24"/>
        </w:rPr>
        <w:t>ument</w:t>
      </w:r>
      <w:r>
        <w:rPr>
          <w:rFonts w:ascii="Times New Roman" w:hAnsi="Times New Roman" w:cs="Times New Roman"/>
          <w:b/>
          <w:sz w:val="24"/>
          <w:szCs w:val="24"/>
        </w:rPr>
        <w:t xml:space="preserve"> </w:t>
      </w:r>
      <w:r w:rsidR="00A43758">
        <w:rPr>
          <w:rFonts w:ascii="Times New Roman" w:hAnsi="Times New Roman" w:cs="Times New Roman"/>
          <w:b/>
          <w:sz w:val="24"/>
          <w:szCs w:val="24"/>
        </w:rPr>
        <w:t>i</w:t>
      </w:r>
      <w:r>
        <w:rPr>
          <w:rFonts w:ascii="Times New Roman" w:hAnsi="Times New Roman" w:cs="Times New Roman"/>
          <w:b/>
          <w:sz w:val="24"/>
          <w:szCs w:val="24"/>
        </w:rPr>
        <w:t>s included</w:t>
      </w:r>
      <w:r w:rsidR="00A43758">
        <w:rPr>
          <w:rFonts w:ascii="Times New Roman" w:hAnsi="Times New Roman" w:cs="Times New Roman"/>
          <w:b/>
          <w:sz w:val="24"/>
          <w:szCs w:val="24"/>
        </w:rPr>
        <w:t>)</w:t>
      </w:r>
    </w:p>
    <w:p w14:paraId="7E90F895" w14:textId="77777777" w:rsidR="00A43758" w:rsidRPr="00E56C83" w:rsidRDefault="00A43758" w:rsidP="00C75DB7">
      <w:pPr>
        <w:pStyle w:val="ListParagraph"/>
        <w:rPr>
          <w:rFonts w:ascii="Times New Roman" w:hAnsi="Times New Roman" w:cs="Times New Roman"/>
          <w:b/>
          <w:sz w:val="24"/>
          <w:szCs w:val="24"/>
        </w:rPr>
      </w:pPr>
    </w:p>
    <w:p w14:paraId="6F640F22" w14:textId="4B59FBD7" w:rsidR="001D2CEC" w:rsidRPr="00C75DB7" w:rsidRDefault="001D2CEC" w:rsidP="001D2CEC">
      <w:pPr>
        <w:pStyle w:val="ListParagraph"/>
        <w:numPr>
          <w:ilvl w:val="0"/>
          <w:numId w:val="1"/>
        </w:numPr>
        <w:tabs>
          <w:tab w:val="left" w:pos="235"/>
        </w:tabs>
        <w:ind w:right="125"/>
        <w:rPr>
          <w:rFonts w:ascii="Times New Roman" w:eastAsia="Times New Roman" w:hAnsi="Times New Roman" w:cs="Times New Roman"/>
          <w:b/>
        </w:rPr>
      </w:pPr>
      <w:r w:rsidRPr="00C75DB7">
        <w:rPr>
          <w:rFonts w:ascii="Trebuchet MS"/>
          <w:b/>
        </w:rPr>
        <w:t>Indicators:</w:t>
      </w:r>
    </w:p>
    <w:p w14:paraId="6CA58F54" w14:textId="76ED3696" w:rsidR="001D2CEC" w:rsidRPr="001D2CEC" w:rsidRDefault="00C75DB7" w:rsidP="001D2CEC">
      <w:pPr>
        <w:tabs>
          <w:tab w:val="left" w:pos="235"/>
        </w:tabs>
        <w:ind w:left="360" w:right="125"/>
        <w:rPr>
          <w:rFonts w:ascii="Trebuchet MS"/>
          <w:b/>
          <w:i/>
        </w:rPr>
      </w:pPr>
      <w:r>
        <w:rPr>
          <w:rFonts w:ascii="Trebuchet MS"/>
        </w:rPr>
        <w:t>8</w:t>
      </w:r>
      <w:r w:rsidR="001D2CEC" w:rsidRPr="001D2CEC">
        <w:rPr>
          <w:rFonts w:ascii="Trebuchet MS"/>
        </w:rPr>
        <w:t>0%</w:t>
      </w:r>
      <w:r w:rsidR="001D2CEC" w:rsidRPr="001D2CEC">
        <w:rPr>
          <w:rFonts w:ascii="Trebuchet MS"/>
          <w:spacing w:val="-4"/>
        </w:rPr>
        <w:t xml:space="preserve"> </w:t>
      </w:r>
      <w:r w:rsidR="001D2CEC" w:rsidRPr="001D2CEC">
        <w:rPr>
          <w:rFonts w:ascii="Trebuchet MS"/>
        </w:rPr>
        <w:t>of</w:t>
      </w:r>
      <w:r w:rsidR="001D2CEC" w:rsidRPr="001D2CEC">
        <w:rPr>
          <w:rFonts w:ascii="Trebuchet MS"/>
          <w:spacing w:val="-3"/>
        </w:rPr>
        <w:t xml:space="preserve"> </w:t>
      </w:r>
      <w:r w:rsidR="001D2CEC" w:rsidRPr="001D2CEC">
        <w:rPr>
          <w:rFonts w:ascii="Trebuchet MS"/>
          <w:spacing w:val="-1"/>
        </w:rPr>
        <w:t>students</w:t>
      </w:r>
      <w:r w:rsidR="001D2CEC" w:rsidRPr="001D2CEC">
        <w:rPr>
          <w:rFonts w:ascii="Trebuchet MS"/>
          <w:spacing w:val="-4"/>
        </w:rPr>
        <w:t xml:space="preserve"> </w:t>
      </w:r>
      <w:r w:rsidR="001D2CEC" w:rsidRPr="001D2CEC">
        <w:rPr>
          <w:rFonts w:ascii="Trebuchet MS"/>
        </w:rPr>
        <w:t>will</w:t>
      </w:r>
      <w:r w:rsidR="001D2CEC" w:rsidRPr="001D2CEC">
        <w:rPr>
          <w:rFonts w:ascii="Trebuchet MS"/>
          <w:spacing w:val="-5"/>
        </w:rPr>
        <w:t xml:space="preserve"> </w:t>
      </w:r>
      <w:r w:rsidR="001D2CEC" w:rsidRPr="001D2CEC">
        <w:rPr>
          <w:rFonts w:ascii="Trebuchet MS"/>
        </w:rPr>
        <w:t>receive</w:t>
      </w:r>
      <w:r w:rsidR="001D2CEC" w:rsidRPr="001D2CEC">
        <w:rPr>
          <w:rFonts w:ascii="Trebuchet MS"/>
          <w:spacing w:val="-5"/>
        </w:rPr>
        <w:t xml:space="preserve"> </w:t>
      </w:r>
      <w:r w:rsidR="001D2CEC" w:rsidRPr="001D2CEC">
        <w:rPr>
          <w:rFonts w:ascii="Trebuchet MS"/>
        </w:rPr>
        <w:t>a</w:t>
      </w:r>
      <w:r w:rsidR="001D2CEC" w:rsidRPr="001D2CEC">
        <w:rPr>
          <w:rFonts w:ascii="Trebuchet MS"/>
          <w:spacing w:val="-3"/>
        </w:rPr>
        <w:t xml:space="preserve"> </w:t>
      </w:r>
      <w:r w:rsidR="001D2CEC" w:rsidRPr="001D2CEC">
        <w:rPr>
          <w:rFonts w:ascii="Trebuchet MS"/>
        </w:rPr>
        <w:t>Level</w:t>
      </w:r>
      <w:r w:rsidR="001D2CEC" w:rsidRPr="001D2CEC">
        <w:rPr>
          <w:rFonts w:ascii="Trebuchet MS"/>
          <w:spacing w:val="-6"/>
        </w:rPr>
        <w:t xml:space="preserve"> </w:t>
      </w:r>
      <w:r>
        <w:rPr>
          <w:rFonts w:ascii="Trebuchet MS"/>
        </w:rPr>
        <w:t>3</w:t>
      </w:r>
      <w:r w:rsidRPr="001D2CEC">
        <w:rPr>
          <w:rFonts w:ascii="Trebuchet MS"/>
          <w:spacing w:val="-3"/>
        </w:rPr>
        <w:t xml:space="preserve"> </w:t>
      </w:r>
      <w:r w:rsidRPr="001D2CEC">
        <w:rPr>
          <w:rFonts w:ascii="Trebuchet MS"/>
          <w:spacing w:val="-7"/>
        </w:rPr>
        <w:t>on</w:t>
      </w:r>
      <w:r w:rsidR="001D2CEC" w:rsidRPr="001D2CEC">
        <w:rPr>
          <w:rFonts w:ascii="Trebuchet MS"/>
          <w:spacing w:val="-8"/>
        </w:rPr>
        <w:t xml:space="preserve"> </w:t>
      </w:r>
      <w:r w:rsidR="00A43758" w:rsidRPr="001D2CEC">
        <w:rPr>
          <w:rFonts w:ascii="Trebuchet MS"/>
        </w:rPr>
        <w:t>the</w:t>
      </w:r>
      <w:r w:rsidR="00A43758" w:rsidRPr="001D2CEC">
        <w:rPr>
          <w:rFonts w:ascii="Trebuchet MS"/>
          <w:spacing w:val="-7"/>
        </w:rPr>
        <w:t xml:space="preserve"> </w:t>
      </w:r>
      <w:r w:rsidR="00A43758" w:rsidRPr="001D2CEC">
        <w:rPr>
          <w:rFonts w:ascii="Trebuchet MS"/>
          <w:b/>
          <w:i/>
          <w:spacing w:val="-6"/>
        </w:rPr>
        <w:t>Preceptor</w:t>
      </w:r>
      <w:r w:rsidR="001D2CEC" w:rsidRPr="001D2CEC">
        <w:rPr>
          <w:rFonts w:ascii="Trebuchet MS"/>
          <w:b/>
          <w:i/>
          <w:spacing w:val="-4"/>
        </w:rPr>
        <w:t xml:space="preserve"> </w:t>
      </w:r>
      <w:r w:rsidR="001D2CEC" w:rsidRPr="001D2CEC">
        <w:rPr>
          <w:rFonts w:ascii="Trebuchet MS"/>
          <w:b/>
          <w:i/>
          <w:spacing w:val="-1"/>
        </w:rPr>
        <w:t>Evaluation</w:t>
      </w:r>
      <w:r>
        <w:rPr>
          <w:rFonts w:ascii="Trebuchet MS"/>
          <w:b/>
          <w:i/>
          <w:spacing w:val="-6"/>
        </w:rPr>
        <w:t xml:space="preserve"> of the Student</w:t>
      </w:r>
    </w:p>
    <w:tbl>
      <w:tblPr>
        <w:tblStyle w:val="TableGrid"/>
        <w:tblW w:w="9355" w:type="dxa"/>
        <w:tblLook w:val="04A0" w:firstRow="1" w:lastRow="0" w:firstColumn="1" w:lastColumn="0" w:noHBand="0" w:noVBand="1"/>
      </w:tblPr>
      <w:tblGrid>
        <w:gridCol w:w="1621"/>
        <w:gridCol w:w="584"/>
        <w:gridCol w:w="874"/>
        <w:gridCol w:w="874"/>
        <w:gridCol w:w="1064"/>
        <w:gridCol w:w="1528"/>
        <w:gridCol w:w="3037"/>
      </w:tblGrid>
      <w:tr w:rsidR="00C90DC7" w14:paraId="06BCA882" w14:textId="77777777" w:rsidTr="004C70A4">
        <w:tc>
          <w:tcPr>
            <w:tcW w:w="9355" w:type="dxa"/>
            <w:gridSpan w:val="7"/>
            <w:shd w:val="clear" w:color="auto" w:fill="A6A6A6" w:themeFill="background1" w:themeFillShade="A6"/>
          </w:tcPr>
          <w:p w14:paraId="5AD031DD" w14:textId="0313DB25" w:rsidR="00C90DC7" w:rsidRDefault="00C90DC7" w:rsidP="004C70A4">
            <w:pPr>
              <w:jc w:val="center"/>
              <w:rPr>
                <w:b/>
                <w:bCs/>
              </w:rPr>
            </w:pPr>
            <w:r>
              <w:rPr>
                <w:b/>
                <w:bCs/>
              </w:rPr>
              <w:t>Preceptor Evaluation of Student</w:t>
            </w:r>
            <w:r>
              <w:rPr>
                <w:b/>
                <w:bCs/>
              </w:rPr>
              <w:br/>
              <w:t>Annual Review</w:t>
            </w:r>
          </w:p>
          <w:p w14:paraId="0015CC52" w14:textId="77777777" w:rsidR="00C90DC7" w:rsidRDefault="00C90DC7" w:rsidP="004C70A4">
            <w:pPr>
              <w:jc w:val="center"/>
              <w:rPr>
                <w:b/>
                <w:bCs/>
              </w:rPr>
            </w:pPr>
          </w:p>
          <w:p w14:paraId="50E96B14" w14:textId="77777777" w:rsidR="000941F6" w:rsidRDefault="00C90DC7" w:rsidP="004C70A4">
            <w:pPr>
              <w:jc w:val="center"/>
              <w:rPr>
                <w:b/>
                <w:bCs/>
              </w:rPr>
            </w:pPr>
            <w:r>
              <w:rPr>
                <w:b/>
                <w:bCs/>
              </w:rPr>
              <w:t xml:space="preserve">Note: </w:t>
            </w:r>
            <w:r>
              <w:t>80% of senior students will be rated level III by their preceptors</w:t>
            </w:r>
          </w:p>
          <w:tbl>
            <w:tblPr>
              <w:tblStyle w:val="TableGrid"/>
              <w:tblW w:w="9355" w:type="dxa"/>
              <w:tblLook w:val="04A0" w:firstRow="1" w:lastRow="0" w:firstColumn="1" w:lastColumn="0" w:noHBand="0" w:noVBand="1"/>
            </w:tblPr>
            <w:tblGrid>
              <w:gridCol w:w="1443"/>
              <w:gridCol w:w="802"/>
              <w:gridCol w:w="802"/>
              <w:gridCol w:w="802"/>
              <w:gridCol w:w="1068"/>
              <w:gridCol w:w="1533"/>
              <w:gridCol w:w="2905"/>
            </w:tblGrid>
            <w:tr w:rsidR="000941F6" w:rsidRPr="006F15D1" w14:paraId="58B5BDD7" w14:textId="77777777" w:rsidTr="004C70A4">
              <w:tc>
                <w:tcPr>
                  <w:tcW w:w="1525" w:type="dxa"/>
                </w:tcPr>
                <w:p w14:paraId="25BDC5E5" w14:textId="77777777" w:rsidR="000941F6" w:rsidRPr="000941F6" w:rsidRDefault="000941F6" w:rsidP="000941F6">
                  <w:pPr>
                    <w:jc w:val="center"/>
                    <w:rPr>
                      <w:b/>
                      <w:bCs/>
                    </w:rPr>
                  </w:pPr>
                  <w:r w:rsidRPr="000941F6">
                    <w:rPr>
                      <w:b/>
                      <w:bCs/>
                    </w:rPr>
                    <w:t>Term</w:t>
                  </w:r>
                </w:p>
              </w:tc>
              <w:tc>
                <w:tcPr>
                  <w:tcW w:w="502" w:type="dxa"/>
                </w:tcPr>
                <w:p w14:paraId="7C5D9DAE" w14:textId="77777777" w:rsidR="000941F6" w:rsidRPr="000941F6" w:rsidRDefault="000941F6" w:rsidP="000941F6">
                  <w:pPr>
                    <w:jc w:val="center"/>
                    <w:rPr>
                      <w:b/>
                      <w:bCs/>
                    </w:rPr>
                  </w:pPr>
                  <w:r w:rsidRPr="000941F6">
                    <w:rPr>
                      <w:b/>
                      <w:bCs/>
                    </w:rPr>
                    <w:t>Rating I</w:t>
                  </w:r>
                </w:p>
              </w:tc>
              <w:tc>
                <w:tcPr>
                  <w:tcW w:w="802" w:type="dxa"/>
                </w:tcPr>
                <w:p w14:paraId="2E7724F5" w14:textId="77777777" w:rsidR="000941F6" w:rsidRPr="000941F6" w:rsidRDefault="000941F6" w:rsidP="000941F6">
                  <w:pPr>
                    <w:jc w:val="center"/>
                    <w:rPr>
                      <w:b/>
                      <w:bCs/>
                    </w:rPr>
                  </w:pPr>
                  <w:r w:rsidRPr="000941F6">
                    <w:rPr>
                      <w:b/>
                      <w:bCs/>
                    </w:rPr>
                    <w:t>Rating II</w:t>
                  </w:r>
                </w:p>
              </w:tc>
              <w:tc>
                <w:tcPr>
                  <w:tcW w:w="802" w:type="dxa"/>
                </w:tcPr>
                <w:p w14:paraId="2BD19183" w14:textId="77777777" w:rsidR="000941F6" w:rsidRPr="000941F6" w:rsidRDefault="000941F6" w:rsidP="000941F6">
                  <w:pPr>
                    <w:jc w:val="center"/>
                    <w:rPr>
                      <w:b/>
                      <w:bCs/>
                    </w:rPr>
                  </w:pPr>
                  <w:r w:rsidRPr="000941F6">
                    <w:rPr>
                      <w:b/>
                      <w:bCs/>
                    </w:rPr>
                    <w:t>Rating III</w:t>
                  </w:r>
                </w:p>
              </w:tc>
              <w:tc>
                <w:tcPr>
                  <w:tcW w:w="1072" w:type="dxa"/>
                </w:tcPr>
                <w:p w14:paraId="21C82582" w14:textId="77777777" w:rsidR="000941F6" w:rsidRPr="000941F6" w:rsidRDefault="000941F6" w:rsidP="000941F6">
                  <w:pPr>
                    <w:jc w:val="center"/>
                    <w:rPr>
                      <w:b/>
                      <w:bCs/>
                    </w:rPr>
                  </w:pPr>
                  <w:r w:rsidRPr="000941F6">
                    <w:rPr>
                      <w:b/>
                      <w:bCs/>
                    </w:rPr>
                    <w:t>Total Students</w:t>
                  </w:r>
                </w:p>
              </w:tc>
              <w:tc>
                <w:tcPr>
                  <w:tcW w:w="1564" w:type="dxa"/>
                </w:tcPr>
                <w:p w14:paraId="1653BAAE" w14:textId="77777777" w:rsidR="000941F6" w:rsidRPr="000941F6" w:rsidRDefault="000941F6" w:rsidP="000941F6">
                  <w:pPr>
                    <w:jc w:val="center"/>
                    <w:rPr>
                      <w:b/>
                      <w:bCs/>
                    </w:rPr>
                  </w:pPr>
                  <w:r w:rsidRPr="000941F6">
                    <w:rPr>
                      <w:b/>
                      <w:bCs/>
                    </w:rPr>
                    <w:t>Percentage (%)</w:t>
                  </w:r>
                </w:p>
              </w:tc>
              <w:tc>
                <w:tcPr>
                  <w:tcW w:w="3088" w:type="dxa"/>
                </w:tcPr>
                <w:p w14:paraId="252D5F82" w14:textId="77777777" w:rsidR="000941F6" w:rsidRPr="000941F6" w:rsidRDefault="000941F6" w:rsidP="000941F6">
                  <w:pPr>
                    <w:jc w:val="center"/>
                    <w:rPr>
                      <w:b/>
                      <w:bCs/>
                    </w:rPr>
                  </w:pPr>
                  <w:r w:rsidRPr="000941F6">
                    <w:rPr>
                      <w:b/>
                      <w:bCs/>
                    </w:rPr>
                    <w:t>Comments</w:t>
                  </w:r>
                </w:p>
              </w:tc>
            </w:tr>
          </w:tbl>
          <w:p w14:paraId="5F4C21E1" w14:textId="7EEC78F6" w:rsidR="00C90DC7" w:rsidRDefault="00C90DC7" w:rsidP="004C70A4">
            <w:pPr>
              <w:jc w:val="center"/>
              <w:rPr>
                <w:b/>
                <w:bCs/>
              </w:rPr>
            </w:pPr>
          </w:p>
        </w:tc>
      </w:tr>
      <w:tr w:rsidR="00C90DC7" w14:paraId="3A9DCFE5" w14:textId="77777777" w:rsidTr="004C70A4">
        <w:tc>
          <w:tcPr>
            <w:tcW w:w="1525" w:type="dxa"/>
          </w:tcPr>
          <w:p w14:paraId="7DB200D8" w14:textId="77777777" w:rsidR="00C90DC7" w:rsidRDefault="00C90DC7" w:rsidP="004C70A4">
            <w:r>
              <w:t>Fall 2020</w:t>
            </w:r>
          </w:p>
        </w:tc>
        <w:tc>
          <w:tcPr>
            <w:tcW w:w="502" w:type="dxa"/>
          </w:tcPr>
          <w:p w14:paraId="30D76185" w14:textId="77777777" w:rsidR="00C90DC7" w:rsidRDefault="00C90DC7" w:rsidP="004C70A4">
            <w:pPr>
              <w:jc w:val="center"/>
            </w:pPr>
            <w:r>
              <w:t>2</w:t>
            </w:r>
          </w:p>
        </w:tc>
        <w:tc>
          <w:tcPr>
            <w:tcW w:w="802" w:type="dxa"/>
          </w:tcPr>
          <w:p w14:paraId="51C4F951" w14:textId="77777777" w:rsidR="00C90DC7" w:rsidRDefault="00C90DC7" w:rsidP="004C70A4">
            <w:pPr>
              <w:jc w:val="center"/>
            </w:pPr>
            <w:r>
              <w:t>12</w:t>
            </w:r>
          </w:p>
        </w:tc>
        <w:tc>
          <w:tcPr>
            <w:tcW w:w="802" w:type="dxa"/>
          </w:tcPr>
          <w:p w14:paraId="0C9D75A4" w14:textId="77777777" w:rsidR="00C90DC7" w:rsidRDefault="00C90DC7" w:rsidP="004C70A4">
            <w:pPr>
              <w:jc w:val="center"/>
            </w:pPr>
            <w:r>
              <w:t>46</w:t>
            </w:r>
          </w:p>
        </w:tc>
        <w:tc>
          <w:tcPr>
            <w:tcW w:w="1072" w:type="dxa"/>
          </w:tcPr>
          <w:p w14:paraId="0FB6C68F" w14:textId="77777777" w:rsidR="00C90DC7" w:rsidRDefault="00C90DC7" w:rsidP="004C70A4">
            <w:pPr>
              <w:jc w:val="center"/>
            </w:pPr>
            <w:r>
              <w:t>60</w:t>
            </w:r>
          </w:p>
        </w:tc>
        <w:tc>
          <w:tcPr>
            <w:tcW w:w="1564" w:type="dxa"/>
          </w:tcPr>
          <w:p w14:paraId="71EC1557" w14:textId="77777777" w:rsidR="00C90DC7" w:rsidRDefault="00C90DC7" w:rsidP="004C70A4">
            <w:pPr>
              <w:jc w:val="center"/>
            </w:pPr>
            <w:r>
              <w:t>76.6</w:t>
            </w:r>
          </w:p>
        </w:tc>
        <w:tc>
          <w:tcPr>
            <w:tcW w:w="3088" w:type="dxa"/>
          </w:tcPr>
          <w:p w14:paraId="08FBB00E" w14:textId="77777777" w:rsidR="00C90DC7" w:rsidRDefault="00C90DC7" w:rsidP="004C70A4">
            <w:r>
              <w:t>Not met</w:t>
            </w:r>
          </w:p>
        </w:tc>
      </w:tr>
      <w:tr w:rsidR="00C90DC7" w14:paraId="57D5F558" w14:textId="77777777" w:rsidTr="004C70A4">
        <w:tc>
          <w:tcPr>
            <w:tcW w:w="1525" w:type="dxa"/>
          </w:tcPr>
          <w:p w14:paraId="533D509E" w14:textId="77777777" w:rsidR="00C90DC7" w:rsidRDefault="00C90DC7" w:rsidP="004C70A4">
            <w:r>
              <w:t>Spring 2021</w:t>
            </w:r>
          </w:p>
        </w:tc>
        <w:tc>
          <w:tcPr>
            <w:tcW w:w="502" w:type="dxa"/>
          </w:tcPr>
          <w:p w14:paraId="724AA1BA" w14:textId="77777777" w:rsidR="00C90DC7" w:rsidRDefault="00C90DC7" w:rsidP="004C70A4">
            <w:pPr>
              <w:jc w:val="center"/>
            </w:pPr>
            <w:r>
              <w:t>1</w:t>
            </w:r>
          </w:p>
        </w:tc>
        <w:tc>
          <w:tcPr>
            <w:tcW w:w="802" w:type="dxa"/>
          </w:tcPr>
          <w:p w14:paraId="342B3EBA" w14:textId="77777777" w:rsidR="00C90DC7" w:rsidRDefault="00C90DC7" w:rsidP="004C70A4">
            <w:pPr>
              <w:jc w:val="center"/>
            </w:pPr>
            <w:r>
              <w:t>11</w:t>
            </w:r>
          </w:p>
        </w:tc>
        <w:tc>
          <w:tcPr>
            <w:tcW w:w="802" w:type="dxa"/>
          </w:tcPr>
          <w:p w14:paraId="7A123D9C" w14:textId="77777777" w:rsidR="00C90DC7" w:rsidRDefault="00C90DC7" w:rsidP="004C70A4">
            <w:pPr>
              <w:jc w:val="center"/>
            </w:pPr>
            <w:r>
              <w:t>49</w:t>
            </w:r>
          </w:p>
        </w:tc>
        <w:tc>
          <w:tcPr>
            <w:tcW w:w="1072" w:type="dxa"/>
          </w:tcPr>
          <w:p w14:paraId="28D273EC" w14:textId="77777777" w:rsidR="00C90DC7" w:rsidRDefault="00C90DC7" w:rsidP="004C70A4">
            <w:pPr>
              <w:jc w:val="center"/>
            </w:pPr>
            <w:r>
              <w:t>61</w:t>
            </w:r>
          </w:p>
        </w:tc>
        <w:tc>
          <w:tcPr>
            <w:tcW w:w="1564" w:type="dxa"/>
          </w:tcPr>
          <w:p w14:paraId="2CB5EE17" w14:textId="77777777" w:rsidR="00C90DC7" w:rsidRDefault="00C90DC7" w:rsidP="004C70A4">
            <w:pPr>
              <w:jc w:val="center"/>
            </w:pPr>
            <w:r>
              <w:t>80.3</w:t>
            </w:r>
          </w:p>
        </w:tc>
        <w:tc>
          <w:tcPr>
            <w:tcW w:w="3088" w:type="dxa"/>
          </w:tcPr>
          <w:p w14:paraId="5A7BBB86" w14:textId="77777777" w:rsidR="00C90DC7" w:rsidRDefault="00C90DC7" w:rsidP="004C70A4">
            <w:r>
              <w:t>Benchmark met</w:t>
            </w:r>
          </w:p>
        </w:tc>
      </w:tr>
    </w:tbl>
    <w:p w14:paraId="4F6F98A9" w14:textId="3CFE9DFC" w:rsidR="00760FF7" w:rsidRPr="000941F6" w:rsidRDefault="000941F6" w:rsidP="000941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4718C" w:rsidRPr="000941F6">
        <w:rPr>
          <w:rFonts w:ascii="Times New Roman" w:hAnsi="Times New Roman" w:cs="Times New Roman"/>
          <w:sz w:val="24"/>
          <w:szCs w:val="24"/>
        </w:rPr>
        <w:t xml:space="preserve">What did you learn from your analysis of the </w:t>
      </w:r>
      <w:r w:rsidR="00760FF7" w:rsidRPr="000941F6">
        <w:rPr>
          <w:rFonts w:ascii="Times New Roman" w:hAnsi="Times New Roman" w:cs="Times New Roman"/>
          <w:sz w:val="24"/>
          <w:szCs w:val="24"/>
        </w:rPr>
        <w:t>data?</w:t>
      </w:r>
      <w:r w:rsidR="0074718C" w:rsidRPr="000941F6">
        <w:rPr>
          <w:rFonts w:ascii="Times New Roman" w:hAnsi="Times New Roman" w:cs="Times New Roman"/>
          <w:sz w:val="24"/>
          <w:szCs w:val="24"/>
        </w:rPr>
        <w:t xml:space="preserve"> Please </w:t>
      </w:r>
      <w:r w:rsidR="00760FF7" w:rsidRPr="000941F6">
        <w:rPr>
          <w:rFonts w:ascii="Times New Roman" w:hAnsi="Times New Roman" w:cs="Times New Roman"/>
          <w:sz w:val="24"/>
          <w:szCs w:val="24"/>
        </w:rPr>
        <w:t xml:space="preserve">include sample size (how many students were evaluated) and indicate how many students (number or percentage instead of a median or mean) were designated as proficient. </w:t>
      </w:r>
      <w:r w:rsidR="00AE0D66" w:rsidRPr="000941F6">
        <w:rPr>
          <w:rFonts w:ascii="Times New Roman" w:hAnsi="Times New Roman" w:cs="Times New Roman"/>
          <w:sz w:val="24"/>
          <w:szCs w:val="24"/>
        </w:rPr>
        <w:t xml:space="preserve"> Also indicate your benchmark (</w:t>
      </w:r>
      <w:proofErr w:type="gramStart"/>
      <w:r w:rsidR="00AE0D66" w:rsidRPr="000941F6">
        <w:rPr>
          <w:rFonts w:ascii="Times New Roman" w:hAnsi="Times New Roman" w:cs="Times New Roman"/>
          <w:sz w:val="24"/>
          <w:szCs w:val="24"/>
        </w:rPr>
        <w:t>e.g.</w:t>
      </w:r>
      <w:proofErr w:type="gramEnd"/>
      <w:r w:rsidR="00AE0D66" w:rsidRPr="000941F6">
        <w:rPr>
          <w:rFonts w:ascii="Times New Roman" w:hAnsi="Times New Roman" w:cs="Times New Roman"/>
          <w:sz w:val="24"/>
          <w:szCs w:val="24"/>
        </w:rPr>
        <w:t xml:space="preserve"> 80% of students will be designated as proficient or higher) and indicate the number of students who met that benchmark.</w:t>
      </w:r>
    </w:p>
    <w:p w14:paraId="1CD78F32" w14:textId="149D2312" w:rsidR="00124DE4" w:rsidRDefault="00124DE4" w:rsidP="00124DE4">
      <w:pPr>
        <w:pStyle w:val="ListParagraph"/>
        <w:rPr>
          <w:rFonts w:ascii="Times New Roman" w:hAnsi="Times New Roman" w:cs="Times New Roman"/>
          <w:sz w:val="24"/>
          <w:szCs w:val="24"/>
        </w:rPr>
      </w:pPr>
    </w:p>
    <w:p w14:paraId="41E0308E" w14:textId="1B56A7C6" w:rsidR="00E56C83" w:rsidRDefault="00124DE4" w:rsidP="004709EF">
      <w:pPr>
        <w:pStyle w:val="ListParagraph"/>
        <w:rPr>
          <w:rFonts w:ascii="Times New Roman" w:hAnsi="Times New Roman" w:cs="Times New Roman"/>
          <w:b/>
          <w:bCs/>
          <w:sz w:val="24"/>
          <w:szCs w:val="24"/>
        </w:rPr>
      </w:pPr>
      <w:r w:rsidRPr="004709EF">
        <w:rPr>
          <w:rFonts w:ascii="Times New Roman" w:hAnsi="Times New Roman" w:cs="Times New Roman"/>
          <w:b/>
          <w:bCs/>
          <w:sz w:val="24"/>
          <w:szCs w:val="24"/>
        </w:rPr>
        <w:t xml:space="preserve">The faculty utilize this information to determine potential areas of deficiency in clinical competencies.  As a result of the Pandemic the quality and consistency of clinical experiences has been </w:t>
      </w:r>
      <w:r w:rsidR="004709EF" w:rsidRPr="004709EF">
        <w:rPr>
          <w:rFonts w:ascii="Times New Roman" w:hAnsi="Times New Roman" w:cs="Times New Roman"/>
          <w:b/>
          <w:bCs/>
          <w:sz w:val="24"/>
          <w:szCs w:val="24"/>
        </w:rPr>
        <w:t>impacted</w:t>
      </w:r>
      <w:r w:rsidR="004709EF">
        <w:rPr>
          <w:rFonts w:ascii="Times New Roman" w:hAnsi="Times New Roman" w:cs="Times New Roman"/>
          <w:b/>
          <w:bCs/>
          <w:sz w:val="24"/>
          <w:szCs w:val="24"/>
        </w:rPr>
        <w:t xml:space="preserve">. </w:t>
      </w:r>
      <w:r w:rsidR="004709EF" w:rsidRPr="004709EF">
        <w:rPr>
          <w:rFonts w:ascii="Times New Roman" w:hAnsi="Times New Roman" w:cs="Times New Roman"/>
          <w:b/>
          <w:bCs/>
          <w:sz w:val="24"/>
          <w:szCs w:val="24"/>
        </w:rPr>
        <w:t>The</w:t>
      </w:r>
      <w:r w:rsidRPr="004709EF">
        <w:rPr>
          <w:rFonts w:ascii="Times New Roman" w:hAnsi="Times New Roman" w:cs="Times New Roman"/>
          <w:b/>
          <w:bCs/>
          <w:sz w:val="24"/>
          <w:szCs w:val="24"/>
        </w:rPr>
        <w:t xml:space="preserve"> need to employ simulated clinical assignments and limit the number of students in the clinical setting has </w:t>
      </w:r>
      <w:r w:rsidR="004709EF" w:rsidRPr="004709EF">
        <w:rPr>
          <w:rFonts w:ascii="Times New Roman" w:hAnsi="Times New Roman" w:cs="Times New Roman"/>
          <w:b/>
          <w:bCs/>
          <w:sz w:val="24"/>
          <w:szCs w:val="24"/>
        </w:rPr>
        <w:t>resulted in a slight decline in clinical performance.</w:t>
      </w:r>
    </w:p>
    <w:p w14:paraId="666F1B0A" w14:textId="77777777" w:rsidR="004709EF" w:rsidRPr="00E56C83" w:rsidRDefault="004709EF" w:rsidP="004709EF">
      <w:pPr>
        <w:pStyle w:val="ListParagraph"/>
        <w:rPr>
          <w:rFonts w:ascii="Times New Roman" w:hAnsi="Times New Roman" w:cs="Times New Roman"/>
          <w:sz w:val="24"/>
          <w:szCs w:val="24"/>
        </w:rPr>
      </w:pPr>
    </w:p>
    <w:p w14:paraId="50B39B8A" w14:textId="77777777"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changes, if any, do you recommend based on the assessment data?</w:t>
      </w:r>
    </w:p>
    <w:p w14:paraId="0DA40BB3" w14:textId="5DF740FD" w:rsidR="00635531" w:rsidRPr="004709EF" w:rsidRDefault="004709EF" w:rsidP="004709EF">
      <w:pPr>
        <w:ind w:left="720"/>
        <w:rPr>
          <w:rFonts w:ascii="Times New Roman" w:hAnsi="Times New Roman" w:cs="Times New Roman"/>
          <w:b/>
          <w:bCs/>
          <w:sz w:val="24"/>
          <w:szCs w:val="24"/>
        </w:rPr>
      </w:pPr>
      <w:r w:rsidRPr="004709EF">
        <w:rPr>
          <w:rFonts w:ascii="Times New Roman" w:hAnsi="Times New Roman" w:cs="Times New Roman"/>
          <w:b/>
          <w:bCs/>
          <w:sz w:val="24"/>
          <w:szCs w:val="24"/>
        </w:rPr>
        <w:t xml:space="preserve">The data will continue to be monitored and clinical faculty will work closely with the agencies to maximize the direct patient care opportunities.  It is anticipated that as the health care environments </w:t>
      </w:r>
      <w:proofErr w:type="gramStart"/>
      <w:r w:rsidR="000941F6">
        <w:rPr>
          <w:rFonts w:ascii="Times New Roman" w:hAnsi="Times New Roman" w:cs="Times New Roman"/>
          <w:b/>
          <w:bCs/>
          <w:sz w:val="24"/>
          <w:szCs w:val="24"/>
        </w:rPr>
        <w:t xml:space="preserve">stabilizes, </w:t>
      </w:r>
      <w:r w:rsidRPr="004709EF">
        <w:rPr>
          <w:rFonts w:ascii="Times New Roman" w:hAnsi="Times New Roman" w:cs="Times New Roman"/>
          <w:b/>
          <w:bCs/>
          <w:sz w:val="24"/>
          <w:szCs w:val="24"/>
        </w:rPr>
        <w:t xml:space="preserve"> the</w:t>
      </w:r>
      <w:proofErr w:type="gramEnd"/>
      <w:r w:rsidRPr="004709EF">
        <w:rPr>
          <w:rFonts w:ascii="Times New Roman" w:hAnsi="Times New Roman" w:cs="Times New Roman"/>
          <w:b/>
          <w:bCs/>
          <w:sz w:val="24"/>
          <w:szCs w:val="24"/>
        </w:rPr>
        <w:t xml:space="preserve"> clinical performance will improve.</w:t>
      </w:r>
    </w:p>
    <w:p w14:paraId="6961861A" w14:textId="77777777" w:rsidR="00760FF7" w:rsidRPr="00760FF7" w:rsidRDefault="00760FF7" w:rsidP="00760FF7">
      <w:pPr>
        <w:rPr>
          <w:rFonts w:ascii="Times New Roman" w:hAnsi="Times New Roman" w:cs="Times New Roman"/>
          <w:sz w:val="24"/>
          <w:szCs w:val="24"/>
        </w:rPr>
      </w:pPr>
    </w:p>
    <w:p w14:paraId="4C8F60AE" w14:textId="15233CE3" w:rsidR="00635531" w:rsidRPr="004709EF" w:rsidRDefault="00760FF7" w:rsidP="00760FF7">
      <w:pPr>
        <w:pStyle w:val="ListParagraph"/>
        <w:numPr>
          <w:ilvl w:val="0"/>
          <w:numId w:val="1"/>
        </w:numPr>
        <w:rPr>
          <w:rFonts w:ascii="Times New Roman" w:hAnsi="Times New Roman" w:cs="Times New Roman"/>
          <w:sz w:val="24"/>
          <w:szCs w:val="24"/>
        </w:rPr>
      </w:pPr>
      <w:r w:rsidRPr="004709EF">
        <w:rPr>
          <w:rFonts w:ascii="Times New Roman" w:hAnsi="Times New Roman" w:cs="Times New Roman"/>
          <w:sz w:val="24"/>
          <w:szCs w:val="24"/>
        </w:rPr>
        <w:t>If you recommended a</w:t>
      </w:r>
      <w:r w:rsidR="0079041A" w:rsidRPr="004709EF">
        <w:rPr>
          <w:rFonts w:ascii="Times New Roman" w:hAnsi="Times New Roman" w:cs="Times New Roman"/>
          <w:sz w:val="24"/>
          <w:szCs w:val="24"/>
        </w:rPr>
        <w:t>ny changes in your response to Q</w:t>
      </w:r>
      <w:r w:rsidR="0040569B" w:rsidRPr="004709EF">
        <w:rPr>
          <w:rFonts w:ascii="Times New Roman" w:hAnsi="Times New Roman" w:cs="Times New Roman"/>
          <w:sz w:val="24"/>
          <w:szCs w:val="24"/>
        </w:rPr>
        <w:t>uestion 4 in your 2018-19</w:t>
      </w:r>
      <w:r w:rsidRPr="004709EF">
        <w:rPr>
          <w:rFonts w:ascii="Times New Roman" w:hAnsi="Times New Roman" w:cs="Times New Roman"/>
          <w:sz w:val="24"/>
          <w:szCs w:val="24"/>
        </w:rPr>
        <w:t xml:space="preserve"> assessment report, what progress have you made in implementing these changes? If you did not recommend making any changes in last year’s report please write N/A as your answer to this question.</w:t>
      </w:r>
      <w:r w:rsidR="004709EF" w:rsidRPr="004709EF">
        <w:rPr>
          <w:rFonts w:ascii="Times New Roman" w:hAnsi="Times New Roman" w:cs="Times New Roman"/>
          <w:sz w:val="24"/>
          <w:szCs w:val="24"/>
        </w:rPr>
        <w:t xml:space="preserve">  </w:t>
      </w:r>
      <w:r w:rsidR="004709EF" w:rsidRPr="004709EF">
        <w:rPr>
          <w:rFonts w:ascii="Times New Roman" w:hAnsi="Times New Roman" w:cs="Times New Roman"/>
          <w:b/>
          <w:bCs/>
          <w:sz w:val="24"/>
          <w:szCs w:val="24"/>
        </w:rPr>
        <w:t>NA.</w:t>
      </w:r>
    </w:p>
    <w:p w14:paraId="337CE314" w14:textId="77777777" w:rsidR="00760FF7" w:rsidRPr="00760FF7" w:rsidRDefault="00760FF7" w:rsidP="00760FF7">
      <w:pPr>
        <w:rPr>
          <w:rFonts w:ascii="Times New Roman" w:hAnsi="Times New Roman" w:cs="Times New Roman"/>
          <w:sz w:val="24"/>
          <w:szCs w:val="24"/>
        </w:rPr>
      </w:pPr>
    </w:p>
    <w:p w14:paraId="5920575F" w14:textId="77777777"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assessment activities will you be conducti</w:t>
      </w:r>
      <w:r w:rsidR="0040569B">
        <w:rPr>
          <w:rFonts w:ascii="Times New Roman" w:hAnsi="Times New Roman" w:cs="Times New Roman"/>
          <w:sz w:val="24"/>
          <w:szCs w:val="24"/>
        </w:rPr>
        <w:t>ng during AY 2021-22</w:t>
      </w:r>
      <w:r>
        <w:rPr>
          <w:rFonts w:ascii="Times New Roman" w:hAnsi="Times New Roman" w:cs="Times New Roman"/>
          <w:sz w:val="24"/>
          <w:szCs w:val="24"/>
        </w:rPr>
        <w:t>?</w:t>
      </w:r>
    </w:p>
    <w:p w14:paraId="5C8F47CB" w14:textId="4BC16A7A" w:rsidR="00760FF7" w:rsidRDefault="004709EF" w:rsidP="00A43758">
      <w:pPr>
        <w:ind w:left="720"/>
        <w:rPr>
          <w:rFonts w:ascii="Times New Roman" w:hAnsi="Times New Roman" w:cs="Times New Roman"/>
          <w:sz w:val="24"/>
          <w:szCs w:val="24"/>
        </w:rPr>
      </w:pPr>
      <w:r w:rsidRPr="00A43758">
        <w:rPr>
          <w:rFonts w:ascii="Times New Roman" w:hAnsi="Times New Roman" w:cs="Times New Roman"/>
          <w:b/>
          <w:bCs/>
          <w:sz w:val="24"/>
          <w:szCs w:val="24"/>
        </w:rPr>
        <w:t>It is anticipated that</w:t>
      </w:r>
      <w:r w:rsidR="00A43758" w:rsidRPr="00A43758">
        <w:rPr>
          <w:rFonts w:ascii="Times New Roman" w:hAnsi="Times New Roman" w:cs="Times New Roman"/>
          <w:b/>
          <w:bCs/>
          <w:sz w:val="24"/>
          <w:szCs w:val="24"/>
        </w:rPr>
        <w:t xml:space="preserve"> the</w:t>
      </w:r>
      <w:r w:rsidRPr="00A43758">
        <w:rPr>
          <w:rFonts w:ascii="Times New Roman" w:hAnsi="Times New Roman" w:cs="Times New Roman"/>
          <w:b/>
          <w:bCs/>
          <w:sz w:val="24"/>
          <w:szCs w:val="24"/>
        </w:rPr>
        <w:t xml:space="preserve"> Preceptor Evaluation</w:t>
      </w:r>
      <w:r w:rsidR="00A43758" w:rsidRPr="00A43758">
        <w:rPr>
          <w:rFonts w:ascii="Times New Roman" w:hAnsi="Times New Roman" w:cs="Times New Roman"/>
          <w:b/>
          <w:bCs/>
          <w:sz w:val="24"/>
          <w:szCs w:val="24"/>
        </w:rPr>
        <w:t>s</w:t>
      </w:r>
      <w:r w:rsidRPr="00A43758">
        <w:rPr>
          <w:rFonts w:ascii="Times New Roman" w:hAnsi="Times New Roman" w:cs="Times New Roman"/>
          <w:b/>
          <w:bCs/>
          <w:sz w:val="24"/>
          <w:szCs w:val="24"/>
        </w:rPr>
        <w:t xml:space="preserve"> will continue to be </w:t>
      </w:r>
      <w:r w:rsidR="00A43758" w:rsidRPr="00A43758">
        <w:rPr>
          <w:rFonts w:ascii="Times New Roman" w:hAnsi="Times New Roman" w:cs="Times New Roman"/>
          <w:b/>
          <w:bCs/>
          <w:sz w:val="24"/>
          <w:szCs w:val="24"/>
        </w:rPr>
        <w:t>selected as it is the most critical issue at this time.  It is important to utilize this data to work closely with the clinical sites and facilitate the student’s transition into professional practice.  Clinical competency deficiencies will impact new graduate orientation.</w:t>
      </w:r>
    </w:p>
    <w:p w14:paraId="7FC22C88" w14:textId="77777777" w:rsidR="00760FF7" w:rsidRPr="00760FF7" w:rsidRDefault="00760FF7" w:rsidP="00760FF7">
      <w:pPr>
        <w:rPr>
          <w:rFonts w:ascii="Times New Roman" w:hAnsi="Times New Roman" w:cs="Times New Roman"/>
          <w:sz w:val="24"/>
          <w:szCs w:val="24"/>
        </w:rPr>
      </w:pPr>
    </w:p>
    <w:p w14:paraId="57334BED" w14:textId="396B9861" w:rsidR="00E56C83" w:rsidRPr="000941F6" w:rsidRDefault="00E56C83" w:rsidP="00F6446F">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Identify a</w:t>
      </w:r>
      <w:r w:rsidR="002F0A0F">
        <w:rPr>
          <w:rFonts w:ascii="Times New Roman" w:hAnsi="Times New Roman" w:cs="Times New Roman"/>
          <w:sz w:val="24"/>
          <w:szCs w:val="24"/>
        </w:rPr>
        <w:t>nd discuss any major issues identified during</w:t>
      </w:r>
      <w:r w:rsidR="00F6446F">
        <w:rPr>
          <w:rFonts w:ascii="Times New Roman" w:hAnsi="Times New Roman" w:cs="Times New Roman"/>
          <w:sz w:val="24"/>
          <w:szCs w:val="24"/>
        </w:rPr>
        <w:t xml:space="preserve"> your last Program Review and in what ways these issues have or have not been addressed.</w:t>
      </w:r>
      <w:r w:rsidR="000941F6">
        <w:rPr>
          <w:rFonts w:ascii="Times New Roman" w:hAnsi="Times New Roman" w:cs="Times New Roman"/>
          <w:sz w:val="24"/>
          <w:szCs w:val="24"/>
        </w:rPr>
        <w:t xml:space="preserve">  </w:t>
      </w:r>
      <w:r w:rsidR="000941F6" w:rsidRPr="000941F6">
        <w:rPr>
          <w:rFonts w:ascii="Times New Roman" w:hAnsi="Times New Roman" w:cs="Times New Roman"/>
          <w:b/>
          <w:bCs/>
          <w:sz w:val="24"/>
          <w:szCs w:val="24"/>
        </w:rPr>
        <w:t>NA</w:t>
      </w:r>
    </w:p>
    <w:sectPr w:rsidR="00E56C83" w:rsidRPr="00094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7023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F7"/>
    <w:rsid w:val="000941F6"/>
    <w:rsid w:val="000A2350"/>
    <w:rsid w:val="00124DE4"/>
    <w:rsid w:val="001755D2"/>
    <w:rsid w:val="001D2CEC"/>
    <w:rsid w:val="002D2AA1"/>
    <w:rsid w:val="002F0A0F"/>
    <w:rsid w:val="0040569B"/>
    <w:rsid w:val="00410C5C"/>
    <w:rsid w:val="004709EF"/>
    <w:rsid w:val="00537657"/>
    <w:rsid w:val="00635531"/>
    <w:rsid w:val="006464C6"/>
    <w:rsid w:val="0074718C"/>
    <w:rsid w:val="00760FF7"/>
    <w:rsid w:val="007637B2"/>
    <w:rsid w:val="0079041A"/>
    <w:rsid w:val="00922D75"/>
    <w:rsid w:val="009C473D"/>
    <w:rsid w:val="00A02CA0"/>
    <w:rsid w:val="00A43758"/>
    <w:rsid w:val="00AE0D66"/>
    <w:rsid w:val="00C04CC9"/>
    <w:rsid w:val="00C75970"/>
    <w:rsid w:val="00C75DB7"/>
    <w:rsid w:val="00C90DC7"/>
    <w:rsid w:val="00CD137B"/>
    <w:rsid w:val="00CF1F36"/>
    <w:rsid w:val="00E259DE"/>
    <w:rsid w:val="00E56C83"/>
    <w:rsid w:val="00E94602"/>
    <w:rsid w:val="00F6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7A08"/>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paragraph" w:customStyle="1" w:styleId="TableParagraph">
    <w:name w:val="Table Paragraph"/>
    <w:basedOn w:val="Normal"/>
    <w:uiPriority w:val="1"/>
    <w:qFormat/>
    <w:rsid w:val="00CF1F36"/>
    <w:pPr>
      <w:widowControl w:val="0"/>
      <w:spacing w:after="0" w:line="240" w:lineRule="auto"/>
    </w:pPr>
  </w:style>
  <w:style w:type="table" w:styleId="TableGrid">
    <w:name w:val="Table Grid"/>
    <w:basedOn w:val="TableNormal"/>
    <w:uiPriority w:val="39"/>
    <w:rsid w:val="00C90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3758"/>
    <w:rPr>
      <w:sz w:val="16"/>
      <w:szCs w:val="16"/>
    </w:rPr>
  </w:style>
  <w:style w:type="paragraph" w:styleId="CommentText">
    <w:name w:val="annotation text"/>
    <w:basedOn w:val="Normal"/>
    <w:link w:val="CommentTextChar"/>
    <w:uiPriority w:val="99"/>
    <w:semiHidden/>
    <w:unhideWhenUsed/>
    <w:rsid w:val="00A43758"/>
    <w:pPr>
      <w:spacing w:line="240" w:lineRule="auto"/>
    </w:pPr>
    <w:rPr>
      <w:sz w:val="20"/>
      <w:szCs w:val="20"/>
    </w:rPr>
  </w:style>
  <w:style w:type="character" w:customStyle="1" w:styleId="CommentTextChar">
    <w:name w:val="Comment Text Char"/>
    <w:basedOn w:val="DefaultParagraphFont"/>
    <w:link w:val="CommentText"/>
    <w:uiPriority w:val="99"/>
    <w:semiHidden/>
    <w:rsid w:val="00A43758"/>
    <w:rPr>
      <w:sz w:val="20"/>
      <w:szCs w:val="20"/>
    </w:rPr>
  </w:style>
  <w:style w:type="paragraph" w:styleId="CommentSubject">
    <w:name w:val="annotation subject"/>
    <w:basedOn w:val="CommentText"/>
    <w:next w:val="CommentText"/>
    <w:link w:val="CommentSubjectChar"/>
    <w:uiPriority w:val="99"/>
    <w:semiHidden/>
    <w:unhideWhenUsed/>
    <w:rsid w:val="00A43758"/>
    <w:rPr>
      <w:b/>
      <w:bCs/>
    </w:rPr>
  </w:style>
  <w:style w:type="character" w:customStyle="1" w:styleId="CommentSubjectChar">
    <w:name w:val="Comment Subject Char"/>
    <w:basedOn w:val="CommentTextChar"/>
    <w:link w:val="CommentSubject"/>
    <w:uiPriority w:val="99"/>
    <w:semiHidden/>
    <w:rsid w:val="00A437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2022-09-20T16:45:00Z</dcterms:created>
  <dcterms:modified xsi:type="dcterms:W3CDTF">2022-09-20T16:45:00Z</dcterms:modified>
</cp:coreProperties>
</file>