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D0D23" w14:textId="704E5642" w:rsidR="002F35D6" w:rsidRPr="007170B1" w:rsidRDefault="002F35D6" w:rsidP="002F35D6">
      <w:pPr>
        <w:outlineLvl w:val="0"/>
        <w:rPr>
          <w:rFonts w:ascii="Bookman Old Style" w:hAnsi="Bookman Old Style"/>
          <w:szCs w:val="24"/>
        </w:rPr>
      </w:pPr>
      <w:r w:rsidRPr="007170B1">
        <w:rPr>
          <w:rFonts w:ascii="Bookman Old Style" w:hAnsi="Bookman Old Style"/>
          <w:szCs w:val="24"/>
        </w:rPr>
        <w:t>MINUTES OF THE PERSONNEL COMMITTEE</w:t>
      </w:r>
    </w:p>
    <w:p w14:paraId="2C2DF61F" w14:textId="77777777" w:rsidR="002F35D6" w:rsidRPr="007170B1" w:rsidRDefault="002F35D6" w:rsidP="002F35D6">
      <w:pPr>
        <w:outlineLvl w:val="0"/>
        <w:rPr>
          <w:rFonts w:ascii="Bookman Old Style" w:hAnsi="Bookman Old Style"/>
          <w:szCs w:val="24"/>
        </w:rPr>
      </w:pPr>
      <w:r w:rsidRPr="007170B1">
        <w:rPr>
          <w:rFonts w:ascii="Bookman Old Style" w:hAnsi="Bookman Old Style"/>
          <w:szCs w:val="24"/>
        </w:rPr>
        <w:t>CALIFORNIA STATE UNIVERSITY, FRESNO</w:t>
      </w:r>
    </w:p>
    <w:p w14:paraId="7A47C725" w14:textId="77777777" w:rsidR="00D1648A" w:rsidRPr="007170B1" w:rsidRDefault="00D1648A" w:rsidP="002F35D6">
      <w:pPr>
        <w:outlineLvl w:val="0"/>
        <w:rPr>
          <w:rFonts w:ascii="Bookman Old Style" w:hAnsi="Bookman Old Style"/>
          <w:szCs w:val="24"/>
        </w:rPr>
      </w:pPr>
      <w:r w:rsidRPr="007170B1">
        <w:rPr>
          <w:rFonts w:ascii="Bookman Old Style" w:hAnsi="Bookman Old Style"/>
          <w:szCs w:val="24"/>
        </w:rPr>
        <w:t>5200 North Barton Avenue, MS#ML34</w:t>
      </w:r>
    </w:p>
    <w:p w14:paraId="2EAFC603" w14:textId="77777777" w:rsidR="002F35D6" w:rsidRPr="007170B1" w:rsidRDefault="00CC67B1" w:rsidP="002F35D6">
      <w:pPr>
        <w:outlineLvl w:val="0"/>
        <w:rPr>
          <w:rFonts w:ascii="Bookman Old Style" w:hAnsi="Bookman Old Style"/>
          <w:szCs w:val="24"/>
        </w:rPr>
      </w:pPr>
      <w:r w:rsidRPr="007170B1">
        <w:rPr>
          <w:rFonts w:ascii="Bookman Old Style" w:hAnsi="Bookman Old Style"/>
          <w:szCs w:val="24"/>
        </w:rPr>
        <w:t>Fresno, CA 93740</w:t>
      </w:r>
      <w:r w:rsidR="00D1648A" w:rsidRPr="007170B1">
        <w:rPr>
          <w:rFonts w:ascii="Bookman Old Style" w:hAnsi="Bookman Old Style"/>
          <w:szCs w:val="24"/>
        </w:rPr>
        <w:t>-8014</w:t>
      </w:r>
    </w:p>
    <w:p w14:paraId="284C2666" w14:textId="77777777" w:rsidR="002F35D6" w:rsidRPr="007170B1" w:rsidRDefault="002F35D6" w:rsidP="002F35D6">
      <w:pPr>
        <w:outlineLvl w:val="0"/>
        <w:rPr>
          <w:rFonts w:ascii="Bookman Old Style" w:hAnsi="Bookman Old Style"/>
          <w:szCs w:val="24"/>
        </w:rPr>
      </w:pPr>
    </w:p>
    <w:p w14:paraId="0C69F192" w14:textId="77777777" w:rsidR="002F35D6" w:rsidRPr="007170B1" w:rsidRDefault="002F35D6" w:rsidP="002F35D6">
      <w:pPr>
        <w:outlineLvl w:val="0"/>
        <w:rPr>
          <w:rFonts w:ascii="Bookman Old Style" w:hAnsi="Bookman Old Style"/>
          <w:szCs w:val="24"/>
        </w:rPr>
      </w:pPr>
      <w:r w:rsidRPr="007170B1">
        <w:rPr>
          <w:rFonts w:ascii="Bookman Old Style" w:hAnsi="Bookman Old Style"/>
          <w:szCs w:val="24"/>
        </w:rPr>
        <w:t>Office of the Academic Senate</w:t>
      </w:r>
    </w:p>
    <w:p w14:paraId="576531B3" w14:textId="77777777" w:rsidR="002F35D6" w:rsidRPr="007170B1" w:rsidRDefault="002F35D6" w:rsidP="002F35D6">
      <w:pPr>
        <w:outlineLvl w:val="0"/>
        <w:rPr>
          <w:rFonts w:ascii="Bookman Old Style" w:hAnsi="Bookman Old Style"/>
          <w:szCs w:val="24"/>
        </w:rPr>
      </w:pPr>
      <w:r w:rsidRPr="007170B1">
        <w:rPr>
          <w:rFonts w:ascii="Bookman Old Style" w:hAnsi="Bookman Old Style"/>
          <w:szCs w:val="24"/>
        </w:rPr>
        <w:t>Ext. 8-2743</w:t>
      </w:r>
    </w:p>
    <w:p w14:paraId="60307AB0" w14:textId="77777777" w:rsidR="00577D81" w:rsidRPr="007170B1" w:rsidRDefault="00577D81" w:rsidP="002F35D6">
      <w:pPr>
        <w:outlineLvl w:val="0"/>
        <w:rPr>
          <w:rFonts w:ascii="Bookman Old Style" w:hAnsi="Bookman Old Style"/>
          <w:szCs w:val="24"/>
        </w:rPr>
      </w:pPr>
    </w:p>
    <w:p w14:paraId="3EDFA9E6" w14:textId="320CC221" w:rsidR="002F35D6" w:rsidRPr="007170B1" w:rsidRDefault="00767EE6" w:rsidP="002F35D6">
      <w:pPr>
        <w:pStyle w:val="Heading1"/>
      </w:pPr>
      <w:r w:rsidRPr="007170B1">
        <w:t>September 3</w:t>
      </w:r>
      <w:r w:rsidR="00F1519E" w:rsidRPr="007170B1">
        <w:t>,</w:t>
      </w:r>
      <w:r w:rsidR="00264A06" w:rsidRPr="007170B1">
        <w:t xml:space="preserve"> </w:t>
      </w:r>
      <w:r w:rsidR="00A97247" w:rsidRPr="007170B1">
        <w:t>20</w:t>
      </w:r>
      <w:r w:rsidR="00E71E9E" w:rsidRPr="007170B1">
        <w:t>20</w:t>
      </w:r>
    </w:p>
    <w:p w14:paraId="2585AEFA" w14:textId="77777777" w:rsidR="00430759" w:rsidRPr="007170B1" w:rsidRDefault="00430759" w:rsidP="00430759">
      <w:pPr>
        <w:rPr>
          <w:rFonts w:ascii="Bookman Old Style" w:hAnsi="Bookman Old Style"/>
          <w:szCs w:val="24"/>
        </w:rPr>
      </w:pPr>
    </w:p>
    <w:p w14:paraId="14967F2B" w14:textId="449725C6" w:rsidR="005C140B" w:rsidRPr="007170B1" w:rsidRDefault="002F35D6" w:rsidP="007170B1">
      <w:pPr>
        <w:ind w:left="2520" w:hanging="2520"/>
        <w:outlineLvl w:val="0"/>
        <w:rPr>
          <w:rFonts w:ascii="Bookman Old Style" w:hAnsi="Bookman Old Style"/>
          <w:szCs w:val="24"/>
        </w:rPr>
      </w:pPr>
      <w:r w:rsidRPr="007170B1">
        <w:rPr>
          <w:rFonts w:ascii="Bookman Old Style" w:hAnsi="Bookman Old Style"/>
          <w:szCs w:val="24"/>
        </w:rPr>
        <w:t>Members Present:</w:t>
      </w:r>
      <w:r w:rsidRPr="007170B1">
        <w:rPr>
          <w:rFonts w:ascii="Bookman Old Style" w:hAnsi="Bookman Old Style"/>
          <w:szCs w:val="24"/>
        </w:rPr>
        <w:tab/>
      </w:r>
      <w:proofErr w:type="spellStart"/>
      <w:r w:rsidR="00EC42BB" w:rsidRPr="007170B1">
        <w:rPr>
          <w:rFonts w:ascii="Bookman Old Style" w:hAnsi="Bookman Old Style"/>
          <w:szCs w:val="24"/>
        </w:rPr>
        <w:t>Alexandrou</w:t>
      </w:r>
      <w:proofErr w:type="spellEnd"/>
      <w:r w:rsidR="00EC42BB" w:rsidRPr="007170B1">
        <w:rPr>
          <w:rFonts w:ascii="Bookman Old Style" w:hAnsi="Bookman Old Style"/>
          <w:szCs w:val="24"/>
        </w:rPr>
        <w:t xml:space="preserve">, Baum, Hopson-Walker, Low, </w:t>
      </w:r>
      <w:r w:rsidR="00524F98" w:rsidRPr="007170B1">
        <w:rPr>
          <w:rFonts w:ascii="Bookman Old Style" w:hAnsi="Bookman Old Style"/>
          <w:szCs w:val="24"/>
        </w:rPr>
        <w:t>Moore, Nguyen</w:t>
      </w:r>
      <w:r w:rsidR="00A54290" w:rsidRPr="007170B1">
        <w:rPr>
          <w:rFonts w:ascii="Bookman Old Style" w:hAnsi="Bookman Old Style"/>
          <w:szCs w:val="24"/>
        </w:rPr>
        <w:t>, Rivera</w:t>
      </w:r>
      <w:r w:rsidR="00EC42BB" w:rsidRPr="007170B1">
        <w:rPr>
          <w:rFonts w:ascii="Bookman Old Style" w:hAnsi="Bookman Old Style"/>
          <w:szCs w:val="24"/>
        </w:rPr>
        <w:t xml:space="preserve">, </w:t>
      </w:r>
      <w:proofErr w:type="spellStart"/>
      <w:r w:rsidR="00EC42BB" w:rsidRPr="007170B1">
        <w:rPr>
          <w:rFonts w:ascii="Bookman Old Style" w:hAnsi="Bookman Old Style"/>
          <w:szCs w:val="24"/>
        </w:rPr>
        <w:t>Vitali</w:t>
      </w:r>
      <w:proofErr w:type="spellEnd"/>
    </w:p>
    <w:p w14:paraId="6C995FFF" w14:textId="77777777" w:rsidR="004A63C7" w:rsidRPr="007170B1" w:rsidRDefault="004A63C7" w:rsidP="005C140B">
      <w:pPr>
        <w:tabs>
          <w:tab w:val="left" w:pos="2160"/>
        </w:tabs>
        <w:ind w:left="2160" w:hanging="2160"/>
        <w:outlineLvl w:val="0"/>
        <w:rPr>
          <w:rFonts w:ascii="Bookman Old Style" w:hAnsi="Bookman Old Style"/>
          <w:szCs w:val="24"/>
        </w:rPr>
      </w:pPr>
    </w:p>
    <w:p w14:paraId="5304AF80" w14:textId="22AF3407" w:rsidR="007F7404" w:rsidRPr="007170B1" w:rsidRDefault="003918B7" w:rsidP="009313CF">
      <w:pPr>
        <w:tabs>
          <w:tab w:val="left" w:pos="2160"/>
        </w:tabs>
        <w:ind w:left="2160" w:hanging="2160"/>
        <w:outlineLvl w:val="0"/>
        <w:rPr>
          <w:rFonts w:ascii="Bookman Old Style" w:hAnsi="Bookman Old Style"/>
          <w:szCs w:val="24"/>
        </w:rPr>
      </w:pPr>
      <w:r w:rsidRPr="007170B1">
        <w:rPr>
          <w:rFonts w:ascii="Bookman Old Style" w:hAnsi="Bookman Old Style"/>
          <w:szCs w:val="24"/>
        </w:rPr>
        <w:t>Absent:</w:t>
      </w:r>
      <w:r w:rsidR="004A63C7" w:rsidRPr="007170B1">
        <w:rPr>
          <w:rFonts w:ascii="Bookman Old Style" w:hAnsi="Bookman Old Style"/>
          <w:szCs w:val="24"/>
        </w:rPr>
        <w:t xml:space="preserve"> </w:t>
      </w:r>
      <w:r w:rsidR="004A63C7" w:rsidRPr="007170B1">
        <w:rPr>
          <w:rFonts w:ascii="Bookman Old Style" w:hAnsi="Bookman Old Style"/>
          <w:szCs w:val="24"/>
        </w:rPr>
        <w:tab/>
      </w:r>
      <w:r w:rsidR="00EC42BB" w:rsidRPr="007170B1">
        <w:rPr>
          <w:rFonts w:ascii="Bookman Old Style" w:hAnsi="Bookman Old Style"/>
          <w:szCs w:val="24"/>
        </w:rPr>
        <w:t xml:space="preserve"> </w:t>
      </w:r>
    </w:p>
    <w:p w14:paraId="75CD90B2" w14:textId="77777777" w:rsidR="00E51D14" w:rsidRPr="007170B1" w:rsidRDefault="00E51D14" w:rsidP="00C10A3B">
      <w:pPr>
        <w:ind w:left="2880" w:hanging="2880"/>
        <w:rPr>
          <w:rFonts w:ascii="Bookman Old Style" w:hAnsi="Bookman Old Style"/>
          <w:szCs w:val="24"/>
        </w:rPr>
      </w:pPr>
    </w:p>
    <w:p w14:paraId="6A34FCA4" w14:textId="61A27340" w:rsidR="00F1519E" w:rsidRPr="007170B1" w:rsidRDefault="002F35D6" w:rsidP="007170B1">
      <w:pPr>
        <w:ind w:left="2520" w:hanging="2520"/>
        <w:outlineLvl w:val="0"/>
        <w:rPr>
          <w:rFonts w:ascii="Bookman Old Style" w:hAnsi="Bookman Old Style"/>
          <w:szCs w:val="24"/>
        </w:rPr>
      </w:pPr>
      <w:r w:rsidRPr="007170B1">
        <w:rPr>
          <w:rFonts w:ascii="Bookman Old Style" w:hAnsi="Bookman Old Style"/>
          <w:szCs w:val="24"/>
        </w:rPr>
        <w:t xml:space="preserve">Members Excused: </w:t>
      </w:r>
      <w:r w:rsidR="005C140B" w:rsidRPr="007170B1">
        <w:rPr>
          <w:rFonts w:ascii="Bookman Old Style" w:hAnsi="Bookman Old Style"/>
          <w:szCs w:val="24"/>
        </w:rPr>
        <w:t xml:space="preserve">   </w:t>
      </w:r>
      <w:bookmarkStart w:id="0" w:name="_GoBack"/>
      <w:bookmarkEnd w:id="0"/>
      <w:r w:rsidR="00B0711A" w:rsidRPr="007170B1">
        <w:rPr>
          <w:rFonts w:ascii="Bookman Old Style" w:hAnsi="Bookman Old Style"/>
          <w:szCs w:val="24"/>
        </w:rPr>
        <w:t>ASI rep</w:t>
      </w:r>
    </w:p>
    <w:p w14:paraId="0DCD02B6" w14:textId="77777777" w:rsidR="00591CE9" w:rsidRPr="007170B1" w:rsidRDefault="00591CE9">
      <w:pPr>
        <w:rPr>
          <w:rFonts w:ascii="Bookman Old Style" w:hAnsi="Bookman Old Style"/>
          <w:szCs w:val="24"/>
        </w:rPr>
      </w:pPr>
    </w:p>
    <w:p w14:paraId="0CEDBF83" w14:textId="39623F5F" w:rsidR="006056C8" w:rsidRPr="007170B1" w:rsidRDefault="00AB1332" w:rsidP="006056C8">
      <w:pPr>
        <w:rPr>
          <w:rFonts w:ascii="Bookman Old Style" w:hAnsi="Bookman Old Style"/>
          <w:b/>
          <w:szCs w:val="24"/>
        </w:rPr>
      </w:pPr>
      <w:r w:rsidRPr="007170B1">
        <w:rPr>
          <w:rFonts w:ascii="Bookman Old Style" w:hAnsi="Bookman Old Style"/>
          <w:b/>
          <w:szCs w:val="24"/>
        </w:rPr>
        <w:t>M</w:t>
      </w:r>
      <w:r w:rsidR="006056C8" w:rsidRPr="007170B1">
        <w:rPr>
          <w:rFonts w:ascii="Bookman Old Style" w:hAnsi="Bookman Old Style"/>
          <w:b/>
          <w:szCs w:val="24"/>
        </w:rPr>
        <w:t xml:space="preserve">eeting called to order by </w:t>
      </w:r>
      <w:r w:rsidR="00424C4E" w:rsidRPr="007170B1">
        <w:rPr>
          <w:rFonts w:ascii="Bookman Old Style" w:hAnsi="Bookman Old Style"/>
          <w:b/>
          <w:szCs w:val="24"/>
        </w:rPr>
        <w:t xml:space="preserve">Chair </w:t>
      </w:r>
      <w:r w:rsidR="00431105" w:rsidRPr="007170B1">
        <w:rPr>
          <w:rFonts w:ascii="Bookman Old Style" w:hAnsi="Bookman Old Style"/>
          <w:b/>
          <w:szCs w:val="24"/>
        </w:rPr>
        <w:t xml:space="preserve">David </w:t>
      </w:r>
      <w:r w:rsidR="00DD0B56" w:rsidRPr="007170B1">
        <w:rPr>
          <w:rFonts w:ascii="Bookman Old Style" w:hAnsi="Bookman Old Style"/>
          <w:b/>
          <w:szCs w:val="24"/>
        </w:rPr>
        <w:t>Low</w:t>
      </w:r>
      <w:r w:rsidR="00424C4E" w:rsidRPr="007170B1">
        <w:rPr>
          <w:rFonts w:ascii="Bookman Old Style" w:hAnsi="Bookman Old Style"/>
          <w:b/>
          <w:szCs w:val="24"/>
        </w:rPr>
        <w:t xml:space="preserve"> at </w:t>
      </w:r>
      <w:r w:rsidR="00524F98" w:rsidRPr="007170B1">
        <w:rPr>
          <w:rFonts w:ascii="Bookman Old Style" w:hAnsi="Bookman Old Style"/>
          <w:b/>
          <w:szCs w:val="24"/>
        </w:rPr>
        <w:t>9:12 am.</w:t>
      </w:r>
    </w:p>
    <w:p w14:paraId="17D8AB55" w14:textId="77777777" w:rsidR="006056C8" w:rsidRPr="007170B1" w:rsidRDefault="006056C8" w:rsidP="006056C8">
      <w:pPr>
        <w:rPr>
          <w:rFonts w:ascii="Bookman Old Style" w:hAnsi="Bookman Old Style"/>
          <w:szCs w:val="24"/>
        </w:rPr>
      </w:pPr>
    </w:p>
    <w:p w14:paraId="6E318BD5" w14:textId="41C11B96" w:rsidR="00E71E9E" w:rsidRPr="007170B1" w:rsidRDefault="006056C8" w:rsidP="00AA29D3">
      <w:pPr>
        <w:pStyle w:val="ListParagraph"/>
        <w:numPr>
          <w:ilvl w:val="0"/>
          <w:numId w:val="1"/>
        </w:numPr>
        <w:ind w:hanging="360"/>
        <w:rPr>
          <w:rFonts w:ascii="Bookman Old Style" w:hAnsi="Bookman Old Style"/>
          <w:color w:val="000000"/>
          <w:szCs w:val="24"/>
        </w:rPr>
      </w:pPr>
      <w:r w:rsidRPr="007170B1">
        <w:rPr>
          <w:rFonts w:ascii="Bookman Old Style" w:hAnsi="Bookman Old Style"/>
          <w:szCs w:val="24"/>
        </w:rPr>
        <w:t xml:space="preserve">Agenda </w:t>
      </w:r>
      <w:r w:rsidR="00465A29" w:rsidRPr="007170B1">
        <w:rPr>
          <w:rFonts w:ascii="Bookman Old Style" w:hAnsi="Bookman Old Style"/>
          <w:szCs w:val="24"/>
        </w:rPr>
        <w:t>–</w:t>
      </w:r>
      <w:r w:rsidRPr="007170B1">
        <w:rPr>
          <w:rFonts w:ascii="Bookman Old Style" w:hAnsi="Bookman Old Style"/>
          <w:szCs w:val="24"/>
        </w:rPr>
        <w:t xml:space="preserve"> </w:t>
      </w:r>
      <w:r w:rsidRPr="007170B1">
        <w:rPr>
          <w:rFonts w:ascii="Bookman Old Style" w:hAnsi="Bookman Old Style"/>
          <w:color w:val="000000"/>
          <w:szCs w:val="24"/>
        </w:rPr>
        <w:t>M</w:t>
      </w:r>
      <w:r w:rsidR="00465A29" w:rsidRPr="007170B1">
        <w:rPr>
          <w:rFonts w:ascii="Bookman Old Style" w:hAnsi="Bookman Old Style"/>
          <w:color w:val="000000"/>
          <w:szCs w:val="24"/>
        </w:rPr>
        <w:t>ove/Second/Carry (M</w:t>
      </w:r>
      <w:r w:rsidRPr="007170B1">
        <w:rPr>
          <w:rFonts w:ascii="Bookman Old Style" w:hAnsi="Bookman Old Style"/>
          <w:color w:val="000000"/>
          <w:szCs w:val="24"/>
        </w:rPr>
        <w:t>SC</w:t>
      </w:r>
      <w:r w:rsidR="00465A29" w:rsidRPr="007170B1">
        <w:rPr>
          <w:rFonts w:ascii="Bookman Old Style" w:hAnsi="Bookman Old Style"/>
          <w:color w:val="000000"/>
          <w:szCs w:val="24"/>
        </w:rPr>
        <w:t>)</w:t>
      </w:r>
      <w:r w:rsidRPr="007170B1">
        <w:rPr>
          <w:rFonts w:ascii="Bookman Old Style" w:hAnsi="Bookman Old Style"/>
          <w:color w:val="000000"/>
          <w:szCs w:val="24"/>
        </w:rPr>
        <w:t xml:space="preserve"> </w:t>
      </w:r>
      <w:r w:rsidR="00134D26" w:rsidRPr="007170B1">
        <w:rPr>
          <w:rFonts w:ascii="Bookman Old Style" w:hAnsi="Bookman Old Style"/>
          <w:color w:val="000000"/>
          <w:szCs w:val="24"/>
        </w:rPr>
        <w:t>to approve agenda</w:t>
      </w:r>
      <w:r w:rsidR="00E45572" w:rsidRPr="007170B1">
        <w:rPr>
          <w:rFonts w:ascii="Bookman Old Style" w:hAnsi="Bookman Old Style"/>
          <w:color w:val="000000"/>
          <w:szCs w:val="24"/>
        </w:rPr>
        <w:t xml:space="preserve"> </w:t>
      </w:r>
      <w:r w:rsidR="002D143C" w:rsidRPr="007170B1">
        <w:rPr>
          <w:rFonts w:ascii="Bookman Old Style" w:hAnsi="Bookman Old Style"/>
          <w:color w:val="000000"/>
          <w:szCs w:val="24"/>
        </w:rPr>
        <w:t xml:space="preserve">of </w:t>
      </w:r>
      <w:r w:rsidR="00465A29" w:rsidRPr="007170B1">
        <w:rPr>
          <w:rFonts w:ascii="Bookman Old Style" w:hAnsi="Bookman Old Style"/>
          <w:color w:val="000000"/>
          <w:szCs w:val="24"/>
        </w:rPr>
        <w:t>9</w:t>
      </w:r>
      <w:r w:rsidR="00F1519E" w:rsidRPr="007170B1">
        <w:rPr>
          <w:rFonts w:ascii="Bookman Old Style" w:hAnsi="Bookman Old Style"/>
          <w:color w:val="000000"/>
          <w:szCs w:val="24"/>
        </w:rPr>
        <w:t>/</w:t>
      </w:r>
      <w:r w:rsidR="00465A29" w:rsidRPr="007170B1">
        <w:rPr>
          <w:rFonts w:ascii="Bookman Old Style" w:hAnsi="Bookman Old Style"/>
          <w:color w:val="000000"/>
          <w:szCs w:val="24"/>
        </w:rPr>
        <w:t>3</w:t>
      </w:r>
      <w:r w:rsidR="00A97247" w:rsidRPr="007170B1">
        <w:rPr>
          <w:rFonts w:ascii="Bookman Old Style" w:hAnsi="Bookman Old Style"/>
          <w:color w:val="000000"/>
          <w:szCs w:val="24"/>
        </w:rPr>
        <w:t>/</w:t>
      </w:r>
      <w:r w:rsidR="00E71E9E" w:rsidRPr="007170B1">
        <w:rPr>
          <w:rFonts w:ascii="Bookman Old Style" w:hAnsi="Bookman Old Style"/>
          <w:color w:val="000000"/>
          <w:szCs w:val="24"/>
        </w:rPr>
        <w:t>20</w:t>
      </w:r>
      <w:r w:rsidR="00524F98" w:rsidRPr="007170B1">
        <w:rPr>
          <w:rFonts w:ascii="Bookman Old Style" w:hAnsi="Bookman Old Style"/>
          <w:color w:val="000000"/>
          <w:szCs w:val="24"/>
        </w:rPr>
        <w:t>.</w:t>
      </w:r>
    </w:p>
    <w:p w14:paraId="42283C89" w14:textId="692EE9FF" w:rsidR="005A5E4F" w:rsidRPr="007170B1" w:rsidRDefault="005A5E4F" w:rsidP="00EC42BB">
      <w:pPr>
        <w:pStyle w:val="ListParagraph"/>
        <w:numPr>
          <w:ilvl w:val="0"/>
          <w:numId w:val="37"/>
        </w:numPr>
        <w:rPr>
          <w:rFonts w:ascii="Bookman Old Style" w:hAnsi="Bookman Old Style"/>
          <w:color w:val="000000"/>
          <w:szCs w:val="24"/>
        </w:rPr>
      </w:pPr>
      <w:r w:rsidRPr="007170B1">
        <w:rPr>
          <w:rFonts w:ascii="Bookman Old Style" w:hAnsi="Bookman Old Style"/>
          <w:szCs w:val="24"/>
        </w:rPr>
        <w:t>Hopson-</w:t>
      </w:r>
      <w:r w:rsidRPr="007170B1">
        <w:rPr>
          <w:rFonts w:ascii="Bookman Old Style" w:hAnsi="Bookman Old Style"/>
          <w:color w:val="000000"/>
          <w:szCs w:val="24"/>
        </w:rPr>
        <w:t xml:space="preserve">Walker moved, </w:t>
      </w:r>
      <w:proofErr w:type="spellStart"/>
      <w:r w:rsidRPr="007170B1">
        <w:rPr>
          <w:rFonts w:ascii="Bookman Old Style" w:hAnsi="Bookman Old Style"/>
          <w:szCs w:val="24"/>
        </w:rPr>
        <w:t>Alexandrou</w:t>
      </w:r>
      <w:proofErr w:type="spellEnd"/>
      <w:r w:rsidRPr="007170B1">
        <w:rPr>
          <w:rFonts w:ascii="Bookman Old Style" w:hAnsi="Bookman Old Style"/>
          <w:szCs w:val="24"/>
        </w:rPr>
        <w:t xml:space="preserve"> seconded, </w:t>
      </w:r>
      <w:r w:rsidR="00EC42BB" w:rsidRPr="007170B1">
        <w:rPr>
          <w:rFonts w:ascii="Bookman Old Style" w:hAnsi="Bookman Old Style"/>
          <w:szCs w:val="24"/>
        </w:rPr>
        <w:t xml:space="preserve">no nays or </w:t>
      </w:r>
      <w:r w:rsidR="003C2D60" w:rsidRPr="007170B1">
        <w:rPr>
          <w:rFonts w:ascii="Bookman Old Style" w:hAnsi="Bookman Old Style"/>
          <w:szCs w:val="24"/>
        </w:rPr>
        <w:t>abstentions</w:t>
      </w:r>
    </w:p>
    <w:p w14:paraId="5F19B47C" w14:textId="77777777" w:rsidR="008C4C97" w:rsidRPr="007170B1" w:rsidRDefault="008C4C97" w:rsidP="00465A29">
      <w:pPr>
        <w:rPr>
          <w:rFonts w:ascii="Bookman Old Style" w:hAnsi="Bookman Old Style"/>
          <w:color w:val="000000"/>
          <w:szCs w:val="24"/>
        </w:rPr>
      </w:pPr>
    </w:p>
    <w:p w14:paraId="782DD19C" w14:textId="77777777" w:rsidR="00F776FE" w:rsidRPr="007170B1" w:rsidRDefault="00F776FE" w:rsidP="0042208A">
      <w:pPr>
        <w:pStyle w:val="ListParagraph"/>
        <w:numPr>
          <w:ilvl w:val="0"/>
          <w:numId w:val="1"/>
        </w:numPr>
        <w:ind w:hanging="360"/>
        <w:rPr>
          <w:rFonts w:ascii="Bookman Old Style" w:hAnsi="Bookman Old Style"/>
          <w:color w:val="000000"/>
          <w:szCs w:val="24"/>
        </w:rPr>
      </w:pPr>
      <w:r w:rsidRPr="007170B1">
        <w:rPr>
          <w:rFonts w:ascii="Bookman Old Style" w:hAnsi="Bookman Old Style"/>
          <w:color w:val="000000"/>
          <w:szCs w:val="24"/>
        </w:rPr>
        <w:t>Communications and Announcements</w:t>
      </w:r>
    </w:p>
    <w:p w14:paraId="10CF4257" w14:textId="77777777" w:rsidR="004F49DE" w:rsidRPr="007170B1" w:rsidRDefault="004F49DE" w:rsidP="00A370C0">
      <w:pPr>
        <w:pStyle w:val="ListParagraph"/>
        <w:ind w:left="900" w:hanging="540"/>
        <w:rPr>
          <w:rFonts w:ascii="Bookman Old Style" w:hAnsi="Bookman Old Style"/>
          <w:color w:val="000000"/>
          <w:szCs w:val="24"/>
        </w:rPr>
      </w:pPr>
      <w:r w:rsidRPr="007170B1">
        <w:rPr>
          <w:rFonts w:ascii="Bookman Old Style" w:hAnsi="Bookman Old Style"/>
          <w:color w:val="000000"/>
          <w:szCs w:val="24"/>
        </w:rPr>
        <w:t xml:space="preserve"> </w:t>
      </w:r>
    </w:p>
    <w:p w14:paraId="4C9A918D" w14:textId="77777777" w:rsidR="00465A29" w:rsidRPr="007170B1" w:rsidRDefault="00465A29" w:rsidP="00465A29">
      <w:pPr>
        <w:pStyle w:val="ListParagraph"/>
        <w:numPr>
          <w:ilvl w:val="0"/>
          <w:numId w:val="36"/>
        </w:numPr>
        <w:ind w:left="1440"/>
        <w:rPr>
          <w:rFonts w:ascii="Bookman Old Style" w:hAnsi="Bookman Old Style"/>
          <w:color w:val="000000"/>
          <w:szCs w:val="24"/>
        </w:rPr>
      </w:pPr>
      <w:r w:rsidRPr="007170B1">
        <w:rPr>
          <w:rFonts w:ascii="Bookman Old Style" w:hAnsi="Bookman Old Style"/>
          <w:color w:val="000000"/>
          <w:szCs w:val="24"/>
        </w:rPr>
        <w:t>We will be meeting remotely for the foreseeable future.</w:t>
      </w:r>
    </w:p>
    <w:p w14:paraId="301A7496" w14:textId="77777777" w:rsidR="00EC42BB" w:rsidRPr="007170B1" w:rsidRDefault="00EC42BB" w:rsidP="00EC42BB">
      <w:pPr>
        <w:pStyle w:val="ListParagraph"/>
        <w:numPr>
          <w:ilvl w:val="0"/>
          <w:numId w:val="36"/>
        </w:numPr>
        <w:ind w:left="1440"/>
        <w:rPr>
          <w:rFonts w:ascii="Bookman Old Style" w:hAnsi="Bookman Old Style"/>
          <w:color w:val="000000"/>
          <w:szCs w:val="24"/>
        </w:rPr>
      </w:pPr>
      <w:r w:rsidRPr="007170B1">
        <w:rPr>
          <w:rFonts w:ascii="Bookman Old Style" w:hAnsi="Bookman Old Style"/>
          <w:color w:val="000000"/>
          <w:szCs w:val="24"/>
        </w:rPr>
        <w:t>Committee member updates.</w:t>
      </w:r>
    </w:p>
    <w:p w14:paraId="410EEBA4" w14:textId="4DBF8CDC" w:rsidR="004A63C7" w:rsidRPr="007170B1" w:rsidRDefault="009313CF" w:rsidP="00FD5C6A">
      <w:pPr>
        <w:pStyle w:val="ListParagraph"/>
        <w:numPr>
          <w:ilvl w:val="0"/>
          <w:numId w:val="36"/>
        </w:numPr>
        <w:ind w:left="1440"/>
        <w:rPr>
          <w:rFonts w:ascii="Bookman Old Style" w:hAnsi="Bookman Old Style"/>
          <w:color w:val="000000"/>
          <w:szCs w:val="24"/>
        </w:rPr>
      </w:pPr>
      <w:r w:rsidRPr="007170B1">
        <w:rPr>
          <w:rFonts w:ascii="Bookman Old Style" w:hAnsi="Bookman Old Style"/>
          <w:color w:val="000000"/>
          <w:szCs w:val="24"/>
        </w:rPr>
        <w:t>Update on Personnel Committee membership</w:t>
      </w:r>
      <w:r w:rsidR="004A63C7" w:rsidRPr="007170B1">
        <w:rPr>
          <w:rFonts w:ascii="Bookman Old Style" w:hAnsi="Bookman Old Style"/>
          <w:color w:val="000000"/>
          <w:szCs w:val="24"/>
        </w:rPr>
        <w:t xml:space="preserve">. </w:t>
      </w:r>
      <w:r w:rsidR="00DD0B56" w:rsidRPr="007170B1">
        <w:rPr>
          <w:rFonts w:ascii="Bookman Old Style" w:hAnsi="Bookman Old Style"/>
          <w:color w:val="000000"/>
          <w:szCs w:val="24"/>
        </w:rPr>
        <w:t>Welcome</w:t>
      </w:r>
      <w:r w:rsidR="00AF6A32" w:rsidRPr="007170B1">
        <w:rPr>
          <w:rFonts w:ascii="Bookman Old Style" w:hAnsi="Bookman Old Style"/>
          <w:color w:val="000000"/>
          <w:szCs w:val="24"/>
        </w:rPr>
        <w:t xml:space="preserve"> to </w:t>
      </w:r>
      <w:r w:rsidR="00DD0B56" w:rsidRPr="007170B1">
        <w:rPr>
          <w:rFonts w:ascii="Bookman Old Style" w:hAnsi="Bookman Old Style"/>
          <w:color w:val="000000"/>
          <w:szCs w:val="24"/>
        </w:rPr>
        <w:t>Dr. Vitali</w:t>
      </w:r>
      <w:r w:rsidR="00AF6A32" w:rsidRPr="007170B1">
        <w:rPr>
          <w:rFonts w:ascii="Bookman Old Style" w:hAnsi="Bookman Old Style"/>
          <w:color w:val="000000"/>
          <w:szCs w:val="24"/>
        </w:rPr>
        <w:t xml:space="preserve"> from the College of Science and Mathematics (Dept. of Physics). </w:t>
      </w:r>
    </w:p>
    <w:p w14:paraId="47C1BDDB" w14:textId="60CEB6E5" w:rsidR="00465A29" w:rsidRPr="007170B1" w:rsidRDefault="00465A29" w:rsidP="00F61022">
      <w:pPr>
        <w:pStyle w:val="ListParagraph"/>
        <w:numPr>
          <w:ilvl w:val="0"/>
          <w:numId w:val="36"/>
        </w:numPr>
        <w:ind w:left="1440"/>
        <w:rPr>
          <w:rFonts w:ascii="Bookman Old Style" w:hAnsi="Bookman Old Style"/>
          <w:color w:val="000000"/>
          <w:szCs w:val="24"/>
        </w:rPr>
      </w:pPr>
      <w:r w:rsidRPr="007170B1">
        <w:rPr>
          <w:rFonts w:ascii="Bookman Old Style" w:hAnsi="Bookman Old Style"/>
          <w:color w:val="000000"/>
          <w:szCs w:val="24"/>
        </w:rPr>
        <w:t>A note of appreciation for the work Marsha Baum has been doing over the summer and into the new academic year.</w:t>
      </w:r>
    </w:p>
    <w:p w14:paraId="71D42527" w14:textId="77777777" w:rsidR="00E44008" w:rsidRPr="007170B1" w:rsidRDefault="00E44008" w:rsidP="00E44008">
      <w:pPr>
        <w:pStyle w:val="ListParagraph"/>
        <w:ind w:left="2160"/>
        <w:rPr>
          <w:rFonts w:ascii="Bookman Old Style" w:hAnsi="Bookman Old Style"/>
          <w:color w:val="000000"/>
          <w:szCs w:val="24"/>
        </w:rPr>
      </w:pPr>
    </w:p>
    <w:p w14:paraId="72A24E50" w14:textId="63E334CA" w:rsidR="00484FFF" w:rsidRPr="007170B1" w:rsidRDefault="002F35D6" w:rsidP="00484FFF">
      <w:pPr>
        <w:pStyle w:val="ListParagraph"/>
        <w:numPr>
          <w:ilvl w:val="0"/>
          <w:numId w:val="1"/>
        </w:numPr>
        <w:ind w:hanging="360"/>
        <w:rPr>
          <w:rFonts w:ascii="Bookman Old Style" w:hAnsi="Bookman Old Style"/>
          <w:color w:val="000000"/>
          <w:szCs w:val="24"/>
        </w:rPr>
      </w:pPr>
      <w:r w:rsidRPr="007170B1">
        <w:rPr>
          <w:rFonts w:ascii="Bookman Old Style" w:hAnsi="Bookman Old Style"/>
          <w:color w:val="000000"/>
          <w:szCs w:val="24"/>
        </w:rPr>
        <w:t>New Business</w:t>
      </w:r>
      <w:r w:rsidR="008F6FC1" w:rsidRPr="007170B1">
        <w:rPr>
          <w:rFonts w:ascii="Bookman Old Style" w:hAnsi="Bookman Old Style"/>
          <w:color w:val="000000"/>
          <w:szCs w:val="24"/>
        </w:rPr>
        <w:t xml:space="preserve"> </w:t>
      </w:r>
      <w:r w:rsidR="00E71E9E" w:rsidRPr="007170B1">
        <w:rPr>
          <w:rFonts w:ascii="Bookman Old Style" w:hAnsi="Bookman Old Style"/>
          <w:color w:val="000000"/>
          <w:szCs w:val="24"/>
        </w:rPr>
        <w:t xml:space="preserve"> </w:t>
      </w:r>
    </w:p>
    <w:p w14:paraId="1E6D0FAA" w14:textId="77777777" w:rsidR="00DD0B56" w:rsidRPr="007170B1" w:rsidRDefault="00DD0B56" w:rsidP="00DD0B56">
      <w:pPr>
        <w:pStyle w:val="ListParagraph"/>
        <w:rPr>
          <w:rFonts w:ascii="Bookman Old Style" w:hAnsi="Bookman Old Style"/>
          <w:color w:val="000000"/>
          <w:szCs w:val="24"/>
        </w:rPr>
      </w:pPr>
    </w:p>
    <w:p w14:paraId="4A0D311F" w14:textId="5E9C0BE4" w:rsidR="00DD0B56" w:rsidRPr="007170B1" w:rsidRDefault="00DD0B56" w:rsidP="00DD0B56">
      <w:pPr>
        <w:pStyle w:val="ListParagraph"/>
        <w:numPr>
          <w:ilvl w:val="1"/>
          <w:numId w:val="1"/>
        </w:numPr>
        <w:rPr>
          <w:rFonts w:ascii="Bookman Old Style" w:hAnsi="Bookman Old Style"/>
          <w:color w:val="000000"/>
          <w:szCs w:val="24"/>
        </w:rPr>
      </w:pPr>
      <w:r w:rsidRPr="007170B1">
        <w:rPr>
          <w:rFonts w:ascii="Bookman Old Style" w:hAnsi="Bookman Old Style"/>
          <w:color w:val="222222"/>
          <w:shd w:val="clear" w:color="auto" w:fill="FFFFFF"/>
        </w:rPr>
        <w:t xml:space="preserve">APM 322 – </w:t>
      </w:r>
      <w:r w:rsidR="009F70ED" w:rsidRPr="007170B1">
        <w:rPr>
          <w:rFonts w:ascii="Bookman Old Style" w:hAnsi="Bookman Old Style"/>
          <w:color w:val="222222"/>
          <w:shd w:val="clear" w:color="auto" w:fill="FFFFFF"/>
        </w:rPr>
        <w:t>Policy on Assessment of Teaching Effectiveness</w:t>
      </w:r>
    </w:p>
    <w:p w14:paraId="5B978085" w14:textId="7794876F" w:rsidR="00DD0B56" w:rsidRPr="007170B1" w:rsidRDefault="00DD0B56" w:rsidP="00DD0B56">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 xml:space="preserve">Background: </w:t>
      </w:r>
      <w:r w:rsidR="00465A29" w:rsidRPr="007170B1">
        <w:rPr>
          <w:rFonts w:ascii="Bookman Old Style" w:hAnsi="Bookman Old Style"/>
          <w:color w:val="000000"/>
          <w:szCs w:val="24"/>
        </w:rPr>
        <w:t>[</w:t>
      </w:r>
      <w:r w:rsidRPr="007170B1">
        <w:rPr>
          <w:rFonts w:ascii="Bookman Old Style" w:hAnsi="Bookman Old Style"/>
          <w:color w:val="000000"/>
          <w:szCs w:val="24"/>
        </w:rPr>
        <w:t>NAME REDACTED</w:t>
      </w:r>
      <w:r w:rsidR="00465A29" w:rsidRPr="007170B1">
        <w:rPr>
          <w:rFonts w:ascii="Bookman Old Style" w:hAnsi="Bookman Old Style"/>
          <w:color w:val="000000"/>
          <w:szCs w:val="24"/>
        </w:rPr>
        <w:t>]</w:t>
      </w:r>
      <w:r w:rsidRPr="007170B1">
        <w:rPr>
          <w:rFonts w:ascii="Bookman Old Style" w:hAnsi="Bookman Old Style"/>
          <w:color w:val="000000"/>
          <w:szCs w:val="24"/>
        </w:rPr>
        <w:t xml:space="preserve"> writes that “</w:t>
      </w:r>
      <w:hyperlink r:id="rId7" w:history="1">
        <w:r w:rsidRPr="007170B1">
          <w:rPr>
            <w:rStyle w:val="Hyperlink"/>
            <w:rFonts w:ascii="Bookman Old Style" w:hAnsi="Bookman Old Style"/>
            <w:szCs w:val="24"/>
          </w:rPr>
          <w:t>APM 322</w:t>
        </w:r>
      </w:hyperlink>
      <w:r w:rsidRPr="007170B1">
        <w:rPr>
          <w:rFonts w:ascii="Bookman Old Style" w:hAnsi="Bookman Old Style"/>
          <w:color w:val="000000"/>
          <w:szCs w:val="24"/>
        </w:rPr>
        <w:t xml:space="preserve"> specifies that teaching effectiveness shall be evaluated on 4 dimensions: 1. Course Content, 2. Instructional Design, 3. Instructional Delivery, and 4. Assessment Methods. </w:t>
      </w:r>
    </w:p>
    <w:p w14:paraId="0BFFD9D0" w14:textId="3E94D01C" w:rsidR="00DD0B56" w:rsidRPr="007170B1" w:rsidRDefault="00DD0B56" w:rsidP="00F17E1C">
      <w:pPr>
        <w:pStyle w:val="ListParagraph"/>
        <w:ind w:left="1710"/>
        <w:rPr>
          <w:rFonts w:ascii="Bookman Old Style" w:hAnsi="Bookman Old Style"/>
          <w:color w:val="000000"/>
          <w:szCs w:val="24"/>
        </w:rPr>
      </w:pPr>
      <w:r w:rsidRPr="007170B1">
        <w:rPr>
          <w:rFonts w:ascii="Bookman Old Style" w:hAnsi="Bookman Old Style"/>
          <w:color w:val="000000"/>
          <w:szCs w:val="24"/>
        </w:rPr>
        <w:t xml:space="preserve">What is lacking in this is any type of professional conduct standards including treating all students equally, regardless of race, ethnicity, gender identity, sex, national origin, religion, sexual orientation, age or disability. In the student evaluations, there is no dimension for students to rate the appropriateness of the instructor’s conduct in class. The only one item that comes </w:t>
      </w:r>
      <w:r w:rsidRPr="007170B1">
        <w:rPr>
          <w:rFonts w:ascii="Bookman Old Style" w:hAnsi="Bookman Old Style"/>
          <w:color w:val="000000"/>
          <w:szCs w:val="24"/>
        </w:rPr>
        <w:lastRenderedPageBreak/>
        <w:t>close is: “The atmosphere of the class invited students to seek additional help if needed” but that really doesn't address the issue. If we as a campus want to create learning environments that promote respectful, professional treatment of all individuals, it has to start with the instructor's behavior.”</w:t>
      </w:r>
    </w:p>
    <w:p w14:paraId="1D067F24" w14:textId="77777777" w:rsidR="00465A29" w:rsidRPr="007170B1" w:rsidRDefault="00DD0B56" w:rsidP="00DD0B56">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 xml:space="preserve">For discussion: </w:t>
      </w:r>
    </w:p>
    <w:p w14:paraId="720B2252" w14:textId="5A8DAEB6" w:rsidR="00465A29" w:rsidRPr="007170B1" w:rsidRDefault="00DD0B56" w:rsidP="00465A29">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 xml:space="preserve">Is it </w:t>
      </w:r>
      <w:r w:rsidR="008967C8" w:rsidRPr="007170B1">
        <w:rPr>
          <w:rFonts w:ascii="Bookman Old Style" w:hAnsi="Bookman Old Style"/>
          <w:color w:val="000000"/>
          <w:szCs w:val="24"/>
        </w:rPr>
        <w:t xml:space="preserve">appropriate </w:t>
      </w:r>
      <w:r w:rsidRPr="007170B1">
        <w:rPr>
          <w:rFonts w:ascii="Bookman Old Style" w:hAnsi="Bookman Old Style"/>
          <w:color w:val="000000"/>
          <w:szCs w:val="24"/>
        </w:rPr>
        <w:t xml:space="preserve">to modify APM 322 to include a dimension for professional behavior that is consistent with the </w:t>
      </w:r>
      <w:r w:rsidR="009F70ED" w:rsidRPr="007170B1">
        <w:rPr>
          <w:rFonts w:ascii="Bookman Old Style" w:hAnsi="Bookman Old Style"/>
          <w:color w:val="000000"/>
          <w:szCs w:val="24"/>
        </w:rPr>
        <w:t xml:space="preserve">university </w:t>
      </w:r>
      <w:r w:rsidRPr="007170B1">
        <w:rPr>
          <w:rFonts w:ascii="Bookman Old Style" w:hAnsi="Bookman Old Style"/>
          <w:color w:val="000000"/>
          <w:szCs w:val="24"/>
        </w:rPr>
        <w:t>policy on collegiality</w:t>
      </w:r>
      <w:r w:rsidR="00465A29" w:rsidRPr="007170B1">
        <w:rPr>
          <w:rFonts w:ascii="Bookman Old Style" w:hAnsi="Bookman Old Style"/>
          <w:color w:val="000000"/>
          <w:szCs w:val="24"/>
        </w:rPr>
        <w:t xml:space="preserve"> (as stipulated in </w:t>
      </w:r>
      <w:hyperlink r:id="rId8" w:history="1">
        <w:r w:rsidR="00465A29" w:rsidRPr="007170B1">
          <w:rPr>
            <w:rStyle w:val="Hyperlink"/>
            <w:rFonts w:ascii="Bookman Old Style" w:hAnsi="Bookman Old Style"/>
            <w:szCs w:val="24"/>
          </w:rPr>
          <w:t>APM 113</w:t>
        </w:r>
      </w:hyperlink>
      <w:r w:rsidR="00465A29" w:rsidRPr="007170B1">
        <w:rPr>
          <w:rFonts w:ascii="Bookman Old Style" w:hAnsi="Bookman Old Style"/>
          <w:color w:val="000000"/>
          <w:szCs w:val="24"/>
        </w:rPr>
        <w:t>, pg. 9)</w:t>
      </w:r>
      <w:r w:rsidRPr="007170B1">
        <w:rPr>
          <w:rFonts w:ascii="Bookman Old Style" w:hAnsi="Bookman Old Style"/>
          <w:color w:val="000000"/>
          <w:szCs w:val="24"/>
        </w:rPr>
        <w:t>?</w:t>
      </w:r>
    </w:p>
    <w:p w14:paraId="2055DD89" w14:textId="60EF3742" w:rsidR="009F70ED" w:rsidRPr="007170B1" w:rsidRDefault="009F70ED" w:rsidP="009F70ED">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What are the benefits in inviting students to evaluate an instructor’s behavior and/or the appropriateness of their conduct?</w:t>
      </w:r>
    </w:p>
    <w:p w14:paraId="6572F370" w14:textId="77777777" w:rsidR="009F70ED" w:rsidRPr="007170B1" w:rsidRDefault="00465A29" w:rsidP="00F61022">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 xml:space="preserve">What </w:t>
      </w:r>
      <w:r w:rsidR="009F70ED" w:rsidRPr="007170B1">
        <w:rPr>
          <w:rFonts w:ascii="Bookman Old Style" w:hAnsi="Bookman Old Style"/>
          <w:color w:val="000000"/>
          <w:szCs w:val="24"/>
        </w:rPr>
        <w:t xml:space="preserve">are some </w:t>
      </w:r>
      <w:r w:rsidRPr="007170B1">
        <w:rPr>
          <w:rFonts w:ascii="Bookman Old Style" w:hAnsi="Bookman Old Style"/>
          <w:color w:val="000000"/>
          <w:szCs w:val="24"/>
        </w:rPr>
        <w:t>potential hazards in inviting students to evaluate an instructor’s behavior and/</w:t>
      </w:r>
      <w:r w:rsidR="009F70ED" w:rsidRPr="007170B1">
        <w:rPr>
          <w:rFonts w:ascii="Bookman Old Style" w:hAnsi="Bookman Old Style"/>
          <w:color w:val="000000"/>
          <w:szCs w:val="24"/>
        </w:rPr>
        <w:t>or the appropriateness of their conduct?</w:t>
      </w:r>
    </w:p>
    <w:p w14:paraId="2E767832" w14:textId="01F7586A" w:rsidR="00E71E9E" w:rsidRPr="007170B1" w:rsidRDefault="00465A29" w:rsidP="00F61022">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Following any changes to APM 322, w</w:t>
      </w:r>
      <w:r w:rsidR="00DD0B56" w:rsidRPr="007170B1">
        <w:rPr>
          <w:rFonts w:ascii="Bookman Old Style" w:hAnsi="Bookman Old Style"/>
          <w:color w:val="000000"/>
          <w:szCs w:val="24"/>
        </w:rPr>
        <w:t xml:space="preserve">ould the Student Ratings Subcommittee add items to the course evaluations? </w:t>
      </w:r>
    </w:p>
    <w:p w14:paraId="09079DA6" w14:textId="5ED42AD3" w:rsidR="00EC42BB" w:rsidRPr="007170B1" w:rsidRDefault="00817708" w:rsidP="00EC42BB">
      <w:pPr>
        <w:pStyle w:val="ListParagraph"/>
        <w:numPr>
          <w:ilvl w:val="2"/>
          <w:numId w:val="1"/>
        </w:numPr>
        <w:rPr>
          <w:rFonts w:ascii="Bookman Old Style" w:hAnsi="Bookman Old Style"/>
          <w:szCs w:val="24"/>
        </w:rPr>
      </w:pPr>
      <w:bookmarkStart w:id="1" w:name="_Hlk50023519"/>
      <w:r w:rsidRPr="007170B1">
        <w:rPr>
          <w:rFonts w:ascii="Bookman Old Style" w:hAnsi="Bookman Old Style"/>
          <w:szCs w:val="24"/>
        </w:rPr>
        <w:t>Synopsis of c</w:t>
      </w:r>
      <w:r w:rsidR="00EC42BB" w:rsidRPr="007170B1">
        <w:rPr>
          <w:rFonts w:ascii="Bookman Old Style" w:hAnsi="Bookman Old Style"/>
          <w:szCs w:val="24"/>
        </w:rPr>
        <w:t>ommittee</w:t>
      </w:r>
      <w:r w:rsidRPr="007170B1">
        <w:rPr>
          <w:rFonts w:ascii="Bookman Old Style" w:hAnsi="Bookman Old Style"/>
          <w:szCs w:val="24"/>
        </w:rPr>
        <w:t>’s</w:t>
      </w:r>
      <w:r w:rsidR="00EC42BB" w:rsidRPr="007170B1">
        <w:rPr>
          <w:rFonts w:ascii="Bookman Old Style" w:hAnsi="Bookman Old Style"/>
          <w:szCs w:val="24"/>
        </w:rPr>
        <w:t xml:space="preserve"> discussion</w:t>
      </w:r>
      <w:r w:rsidRPr="007170B1">
        <w:rPr>
          <w:rFonts w:ascii="Bookman Old Style" w:hAnsi="Bookman Old Style"/>
          <w:szCs w:val="24"/>
        </w:rPr>
        <w:t xml:space="preserve"> points</w:t>
      </w:r>
      <w:r w:rsidR="00EC42BB" w:rsidRPr="007170B1">
        <w:rPr>
          <w:rFonts w:ascii="Bookman Old Style" w:hAnsi="Bookman Old Style"/>
          <w:szCs w:val="24"/>
        </w:rPr>
        <w:t>:</w:t>
      </w:r>
    </w:p>
    <w:bookmarkEnd w:id="1"/>
    <w:p w14:paraId="4E571203" w14:textId="0FBF3B2B" w:rsidR="006C5529" w:rsidRPr="007170B1" w:rsidRDefault="006C5529" w:rsidP="00F61022">
      <w:pPr>
        <w:pStyle w:val="ListParagraph"/>
        <w:numPr>
          <w:ilvl w:val="0"/>
          <w:numId w:val="37"/>
        </w:numPr>
        <w:rPr>
          <w:rFonts w:ascii="Bookman Old Style" w:hAnsi="Bookman Old Style"/>
          <w:szCs w:val="24"/>
        </w:rPr>
      </w:pPr>
      <w:r w:rsidRPr="007170B1">
        <w:rPr>
          <w:rFonts w:ascii="Bookman Old Style" w:hAnsi="Bookman Old Style"/>
          <w:szCs w:val="24"/>
        </w:rPr>
        <w:t>Adding a “professional conduct” dimension onto student evaluations could make both students and faculty more aware of the issue</w:t>
      </w:r>
      <w:r w:rsidR="00817708" w:rsidRPr="007170B1">
        <w:rPr>
          <w:rFonts w:ascii="Bookman Old Style" w:hAnsi="Bookman Old Style"/>
          <w:szCs w:val="24"/>
        </w:rPr>
        <w:t>, which we deem a good thing. However, the committee has several</w:t>
      </w:r>
      <w:r w:rsidR="002676B6" w:rsidRPr="007170B1">
        <w:rPr>
          <w:rFonts w:ascii="Bookman Old Style" w:hAnsi="Bookman Old Style"/>
          <w:szCs w:val="24"/>
        </w:rPr>
        <w:t xml:space="preserve"> serious</w:t>
      </w:r>
      <w:r w:rsidR="00817708" w:rsidRPr="007170B1">
        <w:rPr>
          <w:rFonts w:ascii="Bookman Old Style" w:hAnsi="Bookman Old Style"/>
          <w:szCs w:val="24"/>
        </w:rPr>
        <w:t xml:space="preserve"> misgivings. “Professional conduct” is subjective</w:t>
      </w:r>
      <w:r w:rsidR="002676B6" w:rsidRPr="007170B1">
        <w:rPr>
          <w:rFonts w:ascii="Bookman Old Style" w:hAnsi="Bookman Old Style"/>
          <w:szCs w:val="24"/>
        </w:rPr>
        <w:t>; it</w:t>
      </w:r>
      <w:r w:rsidR="00817708" w:rsidRPr="007170B1">
        <w:rPr>
          <w:rFonts w:ascii="Bookman Old Style" w:hAnsi="Bookman Old Style"/>
          <w:szCs w:val="24"/>
        </w:rPr>
        <w:t xml:space="preserve"> is nearly impossible to establish a valid metric. Professional conduct has historically been weaponized against women and faculty of color. In our polarized culture, professional conduct could be used to punish professors who are perceived to hold different political views from students, even though political affiliation is not one of the listed identity categories. </w:t>
      </w:r>
    </w:p>
    <w:p w14:paraId="25C7734D" w14:textId="6957CAC7" w:rsidR="006C5529" w:rsidRPr="007170B1" w:rsidRDefault="00021D18" w:rsidP="006C5529">
      <w:pPr>
        <w:pStyle w:val="ListParagraph"/>
        <w:numPr>
          <w:ilvl w:val="0"/>
          <w:numId w:val="37"/>
        </w:numPr>
        <w:rPr>
          <w:rFonts w:ascii="Bookman Old Style" w:hAnsi="Bookman Old Style"/>
          <w:szCs w:val="24"/>
        </w:rPr>
      </w:pPr>
      <w:hyperlink r:id="rId9" w:history="1">
        <w:r w:rsidR="00EC42BB" w:rsidRPr="007170B1">
          <w:rPr>
            <w:rStyle w:val="Hyperlink"/>
            <w:rFonts w:ascii="Bookman Old Style" w:hAnsi="Bookman Old Style"/>
            <w:szCs w:val="24"/>
          </w:rPr>
          <w:t>CSU E</w:t>
        </w:r>
        <w:r w:rsidR="005A5E4F" w:rsidRPr="007170B1">
          <w:rPr>
            <w:rStyle w:val="Hyperlink"/>
            <w:rFonts w:ascii="Bookman Old Style" w:hAnsi="Bookman Old Style"/>
            <w:szCs w:val="24"/>
          </w:rPr>
          <w:t>xec</w:t>
        </w:r>
        <w:r w:rsidR="00043249" w:rsidRPr="007170B1">
          <w:rPr>
            <w:rStyle w:val="Hyperlink"/>
            <w:rFonts w:ascii="Bookman Old Style" w:hAnsi="Bookman Old Style"/>
            <w:szCs w:val="24"/>
          </w:rPr>
          <w:t>utive</w:t>
        </w:r>
        <w:r w:rsidR="005A5E4F" w:rsidRPr="007170B1">
          <w:rPr>
            <w:rStyle w:val="Hyperlink"/>
            <w:rFonts w:ascii="Bookman Old Style" w:hAnsi="Bookman Old Style"/>
            <w:szCs w:val="24"/>
          </w:rPr>
          <w:t xml:space="preserve"> Order 1097</w:t>
        </w:r>
      </w:hyperlink>
      <w:r w:rsidR="00EC42BB" w:rsidRPr="007170B1">
        <w:rPr>
          <w:rFonts w:ascii="Bookman Old Style" w:hAnsi="Bookman Old Style"/>
          <w:color w:val="000000"/>
          <w:szCs w:val="24"/>
        </w:rPr>
        <w:t xml:space="preserve"> </w:t>
      </w:r>
      <w:r w:rsidR="00EC42BB" w:rsidRPr="007170B1">
        <w:rPr>
          <w:rFonts w:ascii="Bookman Old Style" w:hAnsi="Bookman Old Style"/>
          <w:szCs w:val="24"/>
        </w:rPr>
        <w:t xml:space="preserve">(Systemwide Policy Prohibiting Discrimination, Harassment &amp; Retaliation, Sexual Misconduct, Dating &amp; Domestic Violence, &amp; Stalking Against Students &amp; Procedure for Addressing) supersedes an in-house mechanism for </w:t>
      </w:r>
      <w:r w:rsidR="006C5529" w:rsidRPr="007170B1">
        <w:rPr>
          <w:rFonts w:ascii="Bookman Old Style" w:hAnsi="Bookman Old Style"/>
          <w:szCs w:val="24"/>
        </w:rPr>
        <w:t xml:space="preserve">evaluating an instructor’s behavior and/or the appropriateness of their conduct. </w:t>
      </w:r>
    </w:p>
    <w:p w14:paraId="4D36DF2B" w14:textId="47333452" w:rsidR="006C5529" w:rsidRPr="007170B1" w:rsidRDefault="006C5529" w:rsidP="006C5529">
      <w:pPr>
        <w:pStyle w:val="ListParagraph"/>
        <w:numPr>
          <w:ilvl w:val="0"/>
          <w:numId w:val="37"/>
        </w:numPr>
        <w:rPr>
          <w:rFonts w:ascii="Bookman Old Style" w:hAnsi="Bookman Old Style"/>
          <w:szCs w:val="24"/>
        </w:rPr>
      </w:pPr>
      <w:r w:rsidRPr="007170B1">
        <w:rPr>
          <w:rFonts w:ascii="Bookman Old Style" w:hAnsi="Bookman Old Style"/>
          <w:szCs w:val="24"/>
        </w:rPr>
        <w:t xml:space="preserve">Students are encouraged to provide feedback to department chairs so that chairs can determine 1) what faculty training/discussion needs to occur to address the concerns or 2) whether the complaint needs to go to DHR. </w:t>
      </w:r>
    </w:p>
    <w:p w14:paraId="73D51AA8" w14:textId="42F3B457" w:rsidR="006C5529" w:rsidRPr="007170B1" w:rsidRDefault="00817708" w:rsidP="00F61022">
      <w:pPr>
        <w:pStyle w:val="ListParagraph"/>
        <w:numPr>
          <w:ilvl w:val="3"/>
          <w:numId w:val="37"/>
        </w:numPr>
        <w:rPr>
          <w:rFonts w:ascii="Bookman Old Style" w:hAnsi="Bookman Old Style"/>
          <w:szCs w:val="24"/>
        </w:rPr>
      </w:pPr>
      <w:r w:rsidRPr="007170B1">
        <w:rPr>
          <w:rFonts w:ascii="Bookman Old Style" w:hAnsi="Bookman Old Style"/>
          <w:szCs w:val="24"/>
        </w:rPr>
        <w:t xml:space="preserve">It could be made more obvious to students that they have a feedback mechanism. </w:t>
      </w:r>
      <w:r w:rsidR="006C5529" w:rsidRPr="007170B1">
        <w:rPr>
          <w:rFonts w:ascii="Bookman Old Style" w:hAnsi="Bookman Old Style"/>
          <w:b/>
          <w:bCs/>
          <w:szCs w:val="24"/>
        </w:rPr>
        <w:t xml:space="preserve">We might discuss this matter with the Student Ratings Subcommittee, and ask them to make their </w:t>
      </w:r>
      <w:r w:rsidR="006C5529" w:rsidRPr="007170B1">
        <w:rPr>
          <w:rFonts w:ascii="Bookman Old Style" w:hAnsi="Bookman Old Style"/>
          <w:b/>
          <w:bCs/>
          <w:szCs w:val="24"/>
        </w:rPr>
        <w:lastRenderedPageBreak/>
        <w:t>instructions more explicit, inviting students to include qualitative feedback that speaks to faculty members’ treatment of students on the basis of race, ethnicity, gender identity, sex, national origin, religion, sexual orientation, age or disability.</w:t>
      </w:r>
    </w:p>
    <w:p w14:paraId="5FDC1744" w14:textId="048A43E3" w:rsidR="006C5529" w:rsidRPr="007170B1" w:rsidRDefault="006C5529" w:rsidP="006C5529">
      <w:pPr>
        <w:pStyle w:val="ListParagraph"/>
        <w:numPr>
          <w:ilvl w:val="3"/>
          <w:numId w:val="37"/>
        </w:numPr>
        <w:rPr>
          <w:rFonts w:ascii="Bookman Old Style" w:hAnsi="Bookman Old Style"/>
          <w:szCs w:val="24"/>
        </w:rPr>
      </w:pPr>
      <w:r w:rsidRPr="007170B1">
        <w:rPr>
          <w:rFonts w:ascii="Bookman Old Style" w:hAnsi="Bookman Old Style"/>
          <w:szCs w:val="24"/>
        </w:rPr>
        <w:t xml:space="preserve">If a complaint is brought to DHR, there will be an investigation of the faculty member’s conduct. If it meets the threshold of harassment, those findings will go to Faculty Affairs. There would be meetings with the faculty member (with union rep present) that could result in a letter of reprimand or more severe repercussions. </w:t>
      </w:r>
    </w:p>
    <w:p w14:paraId="6292CFEC" w14:textId="77777777" w:rsidR="009F70ED" w:rsidRPr="007170B1" w:rsidRDefault="009F70ED" w:rsidP="009F70ED">
      <w:pPr>
        <w:pStyle w:val="ListParagraph"/>
        <w:ind w:left="2520"/>
        <w:rPr>
          <w:rFonts w:ascii="Bookman Old Style" w:hAnsi="Bookman Old Style"/>
          <w:color w:val="0070C0"/>
          <w:szCs w:val="24"/>
        </w:rPr>
      </w:pPr>
    </w:p>
    <w:p w14:paraId="703D5FFB" w14:textId="50BC93DE" w:rsidR="00817708" w:rsidRPr="007170B1" w:rsidRDefault="00021D18" w:rsidP="006D4CE3">
      <w:pPr>
        <w:pStyle w:val="ListParagraph"/>
        <w:numPr>
          <w:ilvl w:val="1"/>
          <w:numId w:val="1"/>
        </w:numPr>
        <w:rPr>
          <w:rFonts w:ascii="Bookman Old Style" w:hAnsi="Bookman Old Style"/>
          <w:color w:val="000000"/>
          <w:szCs w:val="24"/>
        </w:rPr>
      </w:pPr>
      <w:hyperlink r:id="rId10" w:history="1">
        <w:r w:rsidR="00321F88" w:rsidRPr="007170B1">
          <w:rPr>
            <w:rStyle w:val="Hyperlink"/>
            <w:rFonts w:ascii="Bookman Old Style" w:hAnsi="Bookman Old Style"/>
            <w:szCs w:val="24"/>
          </w:rPr>
          <w:t>APM 241</w:t>
        </w:r>
      </w:hyperlink>
      <w:r w:rsidR="00321F88" w:rsidRPr="007170B1">
        <w:rPr>
          <w:rFonts w:ascii="Bookman Old Style" w:hAnsi="Bookman Old Style"/>
          <w:color w:val="000000"/>
          <w:szCs w:val="24"/>
        </w:rPr>
        <w:t xml:space="preserve"> and </w:t>
      </w:r>
      <w:r w:rsidR="00817708" w:rsidRPr="007170B1">
        <w:rPr>
          <w:rFonts w:ascii="Bookman Old Style" w:hAnsi="Bookman Old Style"/>
          <w:color w:val="000000"/>
          <w:szCs w:val="24"/>
        </w:rPr>
        <w:t>Changes to Syllabus Template</w:t>
      </w:r>
      <w:r w:rsidR="006D4CE3" w:rsidRPr="007170B1">
        <w:rPr>
          <w:rFonts w:ascii="Bookman Old Style" w:hAnsi="Bookman Old Style"/>
          <w:color w:val="000000"/>
          <w:szCs w:val="24"/>
        </w:rPr>
        <w:t>: Synopsis of committee’s discussion points:</w:t>
      </w:r>
    </w:p>
    <w:p w14:paraId="314D029E" w14:textId="49B7B7ED" w:rsidR="00817708" w:rsidRPr="007170B1" w:rsidRDefault="00817708" w:rsidP="00817708">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 xml:space="preserve">Adding department chairs’ contact information establishes a clear chain of communication for students who need to discuss their experience in a class. It also provides faculty members a first line of defense, so that students are not going directly to Deans or the Provost. </w:t>
      </w:r>
    </w:p>
    <w:p w14:paraId="692C2F3D" w14:textId="7C2B1E33" w:rsidR="006D4CE3" w:rsidRPr="007170B1" w:rsidRDefault="006D4CE3" w:rsidP="00F61022">
      <w:pPr>
        <w:pStyle w:val="ListParagraph"/>
        <w:numPr>
          <w:ilvl w:val="2"/>
          <w:numId w:val="1"/>
        </w:numPr>
        <w:rPr>
          <w:rFonts w:ascii="Bookman Old Style" w:hAnsi="Bookman Old Style"/>
          <w:color w:val="000000"/>
          <w:szCs w:val="24"/>
        </w:rPr>
      </w:pPr>
      <w:r w:rsidRPr="007170B1">
        <w:rPr>
          <w:rFonts w:ascii="Bookman Old Style" w:hAnsi="Bookman Old Style"/>
          <w:b/>
          <w:bCs/>
          <w:color w:val="000000"/>
          <w:szCs w:val="24"/>
        </w:rPr>
        <w:t xml:space="preserve">The </w:t>
      </w:r>
      <w:r w:rsidR="00817708" w:rsidRPr="007170B1">
        <w:rPr>
          <w:rFonts w:ascii="Bookman Old Style" w:hAnsi="Bookman Old Style"/>
          <w:b/>
          <w:bCs/>
          <w:color w:val="000000"/>
          <w:szCs w:val="24"/>
        </w:rPr>
        <w:t xml:space="preserve">Personnel Committee voted (7-0) in favor of contacting Prof. Holyoke to express our support for </w:t>
      </w:r>
      <w:r w:rsidRPr="007170B1">
        <w:rPr>
          <w:rFonts w:ascii="Bookman Old Style" w:hAnsi="Bookman Old Style"/>
          <w:b/>
          <w:bCs/>
          <w:color w:val="000000"/>
          <w:szCs w:val="24"/>
        </w:rPr>
        <w:t>this amendment to the</w:t>
      </w:r>
      <w:r w:rsidR="00817708" w:rsidRPr="007170B1">
        <w:rPr>
          <w:rFonts w:ascii="Bookman Old Style" w:hAnsi="Bookman Old Style"/>
          <w:b/>
          <w:bCs/>
          <w:color w:val="000000"/>
          <w:szCs w:val="24"/>
        </w:rPr>
        <w:t xml:space="preserve"> syllabus template. </w:t>
      </w:r>
      <w:r w:rsidRPr="007170B1">
        <w:rPr>
          <w:rFonts w:ascii="Bookman Old Style" w:hAnsi="Bookman Old Style"/>
          <w:b/>
          <w:bCs/>
          <w:color w:val="000000"/>
          <w:szCs w:val="24"/>
        </w:rPr>
        <w:t xml:space="preserve">Chair Low will email Prof. Holyoke. </w:t>
      </w:r>
    </w:p>
    <w:p w14:paraId="3ACA579F" w14:textId="77777777" w:rsidR="006D4CE3" w:rsidRPr="007170B1" w:rsidRDefault="006D4CE3" w:rsidP="006D4CE3">
      <w:pPr>
        <w:rPr>
          <w:rFonts w:ascii="Bookman Old Style" w:hAnsi="Bookman Old Style"/>
          <w:color w:val="000000"/>
          <w:szCs w:val="24"/>
        </w:rPr>
      </w:pPr>
    </w:p>
    <w:p w14:paraId="21B15E6B" w14:textId="4B803088" w:rsidR="006D4CE3" w:rsidRPr="007170B1" w:rsidRDefault="006D4CE3" w:rsidP="006D4CE3">
      <w:pPr>
        <w:pStyle w:val="ListParagraph"/>
        <w:numPr>
          <w:ilvl w:val="1"/>
          <w:numId w:val="1"/>
        </w:numPr>
        <w:rPr>
          <w:rFonts w:ascii="Bookman Old Style" w:hAnsi="Bookman Old Style"/>
          <w:color w:val="000000"/>
          <w:szCs w:val="24"/>
        </w:rPr>
      </w:pPr>
      <w:r w:rsidRPr="007170B1">
        <w:rPr>
          <w:rFonts w:ascii="Bookman Old Style" w:hAnsi="Bookman Old Style"/>
          <w:color w:val="000000"/>
          <w:szCs w:val="24"/>
        </w:rPr>
        <w:t>Faculty work</w:t>
      </w:r>
      <w:r w:rsidR="0035255F" w:rsidRPr="007170B1">
        <w:rPr>
          <w:rFonts w:ascii="Bookman Old Style" w:hAnsi="Bookman Old Style"/>
          <w:color w:val="000000"/>
          <w:szCs w:val="24"/>
        </w:rPr>
        <w:t>ing</w:t>
      </w:r>
      <w:r w:rsidRPr="007170B1">
        <w:rPr>
          <w:rFonts w:ascii="Bookman Old Style" w:hAnsi="Bookman Old Style"/>
          <w:color w:val="000000"/>
          <w:szCs w:val="24"/>
        </w:rPr>
        <w:t xml:space="preserve"> remotely following the pandemic: </w:t>
      </w:r>
    </w:p>
    <w:p w14:paraId="49BD0123" w14:textId="66A01D11" w:rsidR="006D4CE3" w:rsidRPr="007170B1" w:rsidRDefault="006D4CE3" w:rsidP="00F61022">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For Discussion: Following the pandemic and the university’s temporary shift to virtual teaching/service, will faculty be required to return to campus?</w:t>
      </w:r>
    </w:p>
    <w:p w14:paraId="4E2B3CF9" w14:textId="44E0CD98" w:rsidR="006D4CE3" w:rsidRPr="007170B1" w:rsidRDefault="006D4CE3" w:rsidP="006D4CE3">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Synopsis of committee’s discussion points:</w:t>
      </w:r>
    </w:p>
    <w:p w14:paraId="229583D1" w14:textId="535EA301" w:rsidR="0035255F" w:rsidRPr="007170B1" w:rsidRDefault="0035255F" w:rsidP="00F61022">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Legally, faculty are not required to reside in CA, they are allowed to work from elsewhere in the U.S.</w:t>
      </w:r>
    </w:p>
    <w:p w14:paraId="3F84D6BF" w14:textId="0FD2BC7B" w:rsidR="006D4CE3" w:rsidRPr="007170B1" w:rsidRDefault="003D59C4" w:rsidP="006D4CE3">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What kind of policy do we need for faculty members who do not come to campus</w:t>
      </w:r>
      <w:r w:rsidR="006D4CE3" w:rsidRPr="007170B1">
        <w:rPr>
          <w:rFonts w:ascii="Bookman Old Style" w:hAnsi="Bookman Old Style"/>
          <w:color w:val="000000"/>
          <w:szCs w:val="24"/>
        </w:rPr>
        <w:t>? T</w:t>
      </w:r>
      <w:r w:rsidRPr="007170B1">
        <w:rPr>
          <w:rFonts w:ascii="Bookman Old Style" w:hAnsi="Bookman Old Style"/>
          <w:color w:val="000000"/>
          <w:szCs w:val="24"/>
        </w:rPr>
        <w:t xml:space="preserve">he only policy we have </w:t>
      </w:r>
      <w:r w:rsidR="006D4CE3" w:rsidRPr="007170B1">
        <w:rPr>
          <w:rFonts w:ascii="Bookman Old Style" w:hAnsi="Bookman Old Style"/>
          <w:color w:val="000000"/>
          <w:szCs w:val="24"/>
        </w:rPr>
        <w:t xml:space="preserve">currently </w:t>
      </w:r>
      <w:r w:rsidRPr="007170B1">
        <w:rPr>
          <w:rFonts w:ascii="Bookman Old Style" w:hAnsi="Bookman Old Style"/>
          <w:color w:val="000000"/>
          <w:szCs w:val="24"/>
        </w:rPr>
        <w:t xml:space="preserve">is the Office Hours policy (that 20% </w:t>
      </w:r>
      <w:r w:rsidR="006D4CE3" w:rsidRPr="007170B1">
        <w:rPr>
          <w:rFonts w:ascii="Bookman Old Style" w:hAnsi="Bookman Old Style"/>
          <w:color w:val="000000"/>
          <w:szCs w:val="24"/>
        </w:rPr>
        <w:t xml:space="preserve">of office hours </w:t>
      </w:r>
      <w:r w:rsidRPr="007170B1">
        <w:rPr>
          <w:rFonts w:ascii="Bookman Old Style" w:hAnsi="Bookman Old Style"/>
          <w:color w:val="000000"/>
          <w:szCs w:val="24"/>
        </w:rPr>
        <w:t xml:space="preserve">must be held in person). </w:t>
      </w:r>
    </w:p>
    <w:p w14:paraId="28D10D7C" w14:textId="777904F9" w:rsidR="0035255F" w:rsidRPr="007170B1" w:rsidRDefault="003D59C4" w:rsidP="00F61022">
      <w:pPr>
        <w:pStyle w:val="ListParagraph"/>
        <w:numPr>
          <w:ilvl w:val="2"/>
          <w:numId w:val="37"/>
        </w:numPr>
        <w:rPr>
          <w:rFonts w:ascii="Bookman Old Style" w:hAnsi="Bookman Old Style"/>
          <w:b/>
          <w:bCs/>
          <w:szCs w:val="24"/>
        </w:rPr>
      </w:pPr>
      <w:r w:rsidRPr="007170B1">
        <w:rPr>
          <w:rFonts w:ascii="Bookman Old Style" w:hAnsi="Bookman Old Style"/>
          <w:b/>
          <w:bCs/>
          <w:szCs w:val="24"/>
        </w:rPr>
        <w:t>Hold forums</w:t>
      </w:r>
      <w:r w:rsidR="001A61DF" w:rsidRPr="007170B1">
        <w:rPr>
          <w:rFonts w:ascii="Bookman Old Style" w:hAnsi="Bookman Old Style"/>
          <w:b/>
          <w:bCs/>
          <w:szCs w:val="24"/>
        </w:rPr>
        <w:t xml:space="preserve">, to be hosted by the Provost’s Office. </w:t>
      </w:r>
      <w:r w:rsidR="0035255F" w:rsidRPr="007170B1">
        <w:rPr>
          <w:rFonts w:ascii="Bookman Old Style" w:hAnsi="Bookman Old Style"/>
          <w:b/>
          <w:bCs/>
          <w:szCs w:val="24"/>
        </w:rPr>
        <w:t xml:space="preserve">Initiate a </w:t>
      </w:r>
      <w:r w:rsidR="0035255F" w:rsidRPr="007170B1">
        <w:rPr>
          <w:rFonts w:ascii="Bookman Old Style" w:hAnsi="Bookman Old Style"/>
          <w:b/>
          <w:bCs/>
          <w:color w:val="000000"/>
          <w:szCs w:val="24"/>
        </w:rPr>
        <w:t xml:space="preserve">campus-wide conversation about </w:t>
      </w:r>
      <w:r w:rsidR="0035255F" w:rsidRPr="007170B1">
        <w:rPr>
          <w:rFonts w:ascii="Bookman Old Style" w:hAnsi="Bookman Old Style"/>
          <w:b/>
          <w:bCs/>
          <w:color w:val="000000"/>
          <w:szCs w:val="24"/>
          <w:u w:val="single"/>
        </w:rPr>
        <w:t>what it means to be Fresno State University. What are our values and what is our culture? Are we an online university now?</w:t>
      </w:r>
      <w:r w:rsidR="0035255F" w:rsidRPr="007170B1">
        <w:rPr>
          <w:rFonts w:ascii="Bookman Old Style" w:hAnsi="Bookman Old Style"/>
          <w:b/>
          <w:bCs/>
          <w:color w:val="000000"/>
          <w:szCs w:val="24"/>
        </w:rPr>
        <w:t xml:space="preserve"> W</w:t>
      </w:r>
      <w:r w:rsidR="004604A3" w:rsidRPr="007170B1">
        <w:rPr>
          <w:rFonts w:ascii="Bookman Old Style" w:hAnsi="Bookman Old Style"/>
          <w:b/>
          <w:bCs/>
          <w:szCs w:val="24"/>
        </w:rPr>
        <w:t>hat</w:t>
      </w:r>
      <w:r w:rsidR="001A61DF" w:rsidRPr="007170B1">
        <w:rPr>
          <w:rFonts w:ascii="Bookman Old Style" w:hAnsi="Bookman Old Style"/>
          <w:b/>
          <w:bCs/>
          <w:szCs w:val="24"/>
        </w:rPr>
        <w:t xml:space="preserve"> are</w:t>
      </w:r>
      <w:r w:rsidR="004604A3" w:rsidRPr="007170B1">
        <w:rPr>
          <w:rFonts w:ascii="Bookman Old Style" w:hAnsi="Bookman Old Style"/>
          <w:b/>
          <w:bCs/>
          <w:szCs w:val="24"/>
        </w:rPr>
        <w:t xml:space="preserve"> the benefit</w:t>
      </w:r>
      <w:r w:rsidR="001A61DF" w:rsidRPr="007170B1">
        <w:rPr>
          <w:rFonts w:ascii="Bookman Old Style" w:hAnsi="Bookman Old Style"/>
          <w:b/>
          <w:bCs/>
          <w:szCs w:val="24"/>
        </w:rPr>
        <w:t xml:space="preserve">s of not requiring faculty to physically </w:t>
      </w:r>
      <w:r w:rsidR="0035255F" w:rsidRPr="007170B1">
        <w:rPr>
          <w:rFonts w:ascii="Bookman Old Style" w:hAnsi="Bookman Old Style"/>
          <w:b/>
          <w:bCs/>
          <w:szCs w:val="24"/>
        </w:rPr>
        <w:t>be on</w:t>
      </w:r>
      <w:r w:rsidR="001A61DF" w:rsidRPr="007170B1">
        <w:rPr>
          <w:rFonts w:ascii="Bookman Old Style" w:hAnsi="Bookman Old Style"/>
          <w:b/>
          <w:bCs/>
          <w:szCs w:val="24"/>
        </w:rPr>
        <w:t xml:space="preserve"> campus (obviously, following the pandemic)? What would be lost?</w:t>
      </w:r>
    </w:p>
    <w:p w14:paraId="0ECD0189" w14:textId="0BCEBB9B" w:rsidR="0035255F" w:rsidRPr="007170B1" w:rsidRDefault="0035255F" w:rsidP="0035255F">
      <w:pPr>
        <w:pStyle w:val="ListParagraph"/>
        <w:numPr>
          <w:ilvl w:val="2"/>
          <w:numId w:val="37"/>
        </w:numPr>
        <w:rPr>
          <w:rFonts w:ascii="Bookman Old Style" w:hAnsi="Bookman Old Style"/>
          <w:b/>
          <w:bCs/>
          <w:szCs w:val="24"/>
        </w:rPr>
      </w:pPr>
      <w:r w:rsidRPr="007170B1">
        <w:rPr>
          <w:rFonts w:ascii="Bookman Old Style" w:hAnsi="Bookman Old Style"/>
          <w:b/>
          <w:bCs/>
          <w:szCs w:val="24"/>
        </w:rPr>
        <w:lastRenderedPageBreak/>
        <w:t xml:space="preserve">Create a Resolution (like our Principles of Community) that states we are a community of scholars dedicated to our local region. </w:t>
      </w:r>
    </w:p>
    <w:p w14:paraId="73B30178" w14:textId="62CD97DE" w:rsidR="003D59C4" w:rsidRPr="007170B1" w:rsidRDefault="0035255F" w:rsidP="0035255F">
      <w:pPr>
        <w:pStyle w:val="ListParagraph"/>
        <w:numPr>
          <w:ilvl w:val="2"/>
          <w:numId w:val="37"/>
        </w:numPr>
        <w:rPr>
          <w:rFonts w:ascii="Bookman Old Style" w:hAnsi="Bookman Old Style"/>
          <w:b/>
          <w:bCs/>
          <w:szCs w:val="24"/>
        </w:rPr>
      </w:pPr>
      <w:r w:rsidRPr="007170B1">
        <w:rPr>
          <w:rFonts w:ascii="Bookman Old Style" w:hAnsi="Bookman Old Style"/>
          <w:b/>
          <w:bCs/>
          <w:szCs w:val="24"/>
        </w:rPr>
        <w:t xml:space="preserve">Create a Policy Statement that indicates 1) Fresno State faculty do not work remotely; 2) faculty must attend department meetings; 3) faculty must hold 20% of office hours on campus. Include language for faculty who are unable to follow these criteria for approved reasons (i.e. they need to be a caregiver elsewhere). Faculty cannot simply prefer to live elsewhere and work remotely. </w:t>
      </w:r>
    </w:p>
    <w:p w14:paraId="2F1BFC17" w14:textId="37BD0E8F" w:rsidR="0035255F" w:rsidRPr="007170B1" w:rsidRDefault="0035255F" w:rsidP="0035255F">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Related: Will staff need to return to campus or can they continue to work remotely?</w:t>
      </w:r>
    </w:p>
    <w:p w14:paraId="339D4A6D" w14:textId="77777777" w:rsidR="001A61DF" w:rsidRPr="007170B1" w:rsidRDefault="001A61DF" w:rsidP="001A61DF">
      <w:pPr>
        <w:rPr>
          <w:rFonts w:ascii="Bookman Old Style" w:hAnsi="Bookman Old Style"/>
          <w:color w:val="000000"/>
          <w:szCs w:val="24"/>
        </w:rPr>
      </w:pPr>
    </w:p>
    <w:p w14:paraId="5877810A" w14:textId="17BC27AC" w:rsidR="001A61DF" w:rsidRPr="007170B1" w:rsidRDefault="001A61DF" w:rsidP="001A61DF">
      <w:pPr>
        <w:pStyle w:val="ListParagraph"/>
        <w:numPr>
          <w:ilvl w:val="1"/>
          <w:numId w:val="1"/>
        </w:numPr>
        <w:rPr>
          <w:rFonts w:ascii="Bookman Old Style" w:hAnsi="Bookman Old Style"/>
          <w:color w:val="000000"/>
          <w:szCs w:val="24"/>
        </w:rPr>
      </w:pPr>
      <w:r w:rsidRPr="007170B1">
        <w:rPr>
          <w:rFonts w:ascii="Bookman Old Style" w:hAnsi="Bookman Old Style"/>
          <w:color w:val="000000"/>
          <w:szCs w:val="24"/>
        </w:rPr>
        <w:t>Conflict of Commitment:</w:t>
      </w:r>
      <w:r w:rsidRPr="007170B1">
        <w:rPr>
          <w:rFonts w:ascii="Bookman Old Style" w:hAnsi="Bookman Old Style"/>
        </w:rPr>
        <w:t xml:space="preserve"> </w:t>
      </w:r>
      <w:r w:rsidRPr="007170B1">
        <w:rPr>
          <w:rFonts w:ascii="Bookman Old Style" w:hAnsi="Bookman Old Style"/>
          <w:color w:val="000000"/>
          <w:szCs w:val="24"/>
        </w:rPr>
        <w:t>Synopsis of committee’s discussion points:</w:t>
      </w:r>
    </w:p>
    <w:p w14:paraId="38E14F04" w14:textId="34D7A173" w:rsidR="001A61DF" w:rsidRPr="007170B1" w:rsidRDefault="001A61DF" w:rsidP="001A61DF">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 xml:space="preserve">We do not currently have a “a conflict of commitment” clause that says a T/TT faculty member cannot hold another T/TT position at another university. </w:t>
      </w:r>
    </w:p>
    <w:p w14:paraId="0EF0B581" w14:textId="77777777" w:rsidR="001A61DF" w:rsidRPr="007170B1" w:rsidRDefault="001A61DF" w:rsidP="001A61DF">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 xml:space="preserve">Faculty members are allowed to own their own companies, run consultancies, work in private practice, etc. They must declare this to the university. </w:t>
      </w:r>
    </w:p>
    <w:p w14:paraId="436FCE22" w14:textId="2DD5DC57" w:rsidR="001A61DF" w:rsidRPr="007170B1" w:rsidRDefault="001A61DF" w:rsidP="001A61DF">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CSUs do not have a rule about working beyond 25%. (Article 36 of CBA only refers to other CSU employment.)</w:t>
      </w:r>
    </w:p>
    <w:p w14:paraId="3BEBA0C2" w14:textId="5E4431E7" w:rsidR="001A61DF" w:rsidRPr="007170B1" w:rsidRDefault="001A61DF" w:rsidP="001A61DF">
      <w:pPr>
        <w:pStyle w:val="ListParagraph"/>
        <w:numPr>
          <w:ilvl w:val="2"/>
          <w:numId w:val="1"/>
        </w:numPr>
        <w:rPr>
          <w:rFonts w:ascii="Bookman Old Style" w:hAnsi="Bookman Old Style"/>
          <w:b/>
          <w:bCs/>
          <w:color w:val="000000"/>
          <w:szCs w:val="24"/>
        </w:rPr>
      </w:pPr>
      <w:r w:rsidRPr="007170B1">
        <w:rPr>
          <w:rFonts w:ascii="Bookman Old Style" w:hAnsi="Bookman Old Style"/>
          <w:b/>
          <w:bCs/>
          <w:color w:val="000000"/>
          <w:szCs w:val="24"/>
        </w:rPr>
        <w:t xml:space="preserve">The issue is when a faculty member’s outside work negatively </w:t>
      </w:r>
      <w:r w:rsidR="0035255F" w:rsidRPr="007170B1">
        <w:rPr>
          <w:rFonts w:ascii="Bookman Old Style" w:hAnsi="Bookman Old Style"/>
          <w:b/>
          <w:bCs/>
          <w:color w:val="000000"/>
          <w:szCs w:val="24"/>
        </w:rPr>
        <w:t>impacts</w:t>
      </w:r>
      <w:r w:rsidRPr="007170B1">
        <w:rPr>
          <w:rFonts w:ascii="Bookman Old Style" w:hAnsi="Bookman Old Style"/>
          <w:b/>
          <w:bCs/>
          <w:color w:val="000000"/>
          <w:szCs w:val="24"/>
        </w:rPr>
        <w:t xml:space="preserve"> their performance as a faculty member. For example, being unavailable for dept/school/university service or being unavailable to hold office hours. </w:t>
      </w:r>
    </w:p>
    <w:p w14:paraId="3BE2FBDA" w14:textId="0A6790C5" w:rsidR="00673DE8" w:rsidRPr="007170B1" w:rsidRDefault="001A61DF" w:rsidP="00F61022">
      <w:pPr>
        <w:pStyle w:val="ListParagraph"/>
        <w:numPr>
          <w:ilvl w:val="3"/>
          <w:numId w:val="1"/>
        </w:numPr>
        <w:rPr>
          <w:rFonts w:ascii="Bookman Old Style" w:hAnsi="Bookman Old Style"/>
          <w:color w:val="000000"/>
          <w:szCs w:val="24"/>
        </w:rPr>
      </w:pPr>
      <w:r w:rsidRPr="007170B1">
        <w:rPr>
          <w:rFonts w:ascii="Bookman Old Style" w:hAnsi="Bookman Old Style"/>
          <w:b/>
          <w:bCs/>
          <w:color w:val="000000"/>
          <w:szCs w:val="24"/>
        </w:rPr>
        <w:t>Could there be some sort of periodic review or audit? Administrators could attempt to determine whether faculty members who do work outside of their faculty positions are satisfactorily attending to their professional obligations at Fresno State. (Committee minutes could be used as evidence of attendance or absence, for instance.)</w:t>
      </w:r>
    </w:p>
    <w:p w14:paraId="16AF9FD2" w14:textId="77777777" w:rsidR="00673DE8" w:rsidRPr="007170B1" w:rsidRDefault="00673DE8" w:rsidP="00673DE8">
      <w:pPr>
        <w:pStyle w:val="ListParagraph"/>
        <w:ind w:left="3960"/>
        <w:rPr>
          <w:rFonts w:ascii="Bookman Old Style" w:hAnsi="Bookman Old Style"/>
          <w:color w:val="000000"/>
          <w:szCs w:val="24"/>
        </w:rPr>
      </w:pPr>
    </w:p>
    <w:p w14:paraId="1FD8D78C" w14:textId="77777777" w:rsidR="0035255F" w:rsidRPr="007170B1" w:rsidRDefault="0035255F" w:rsidP="0035255F">
      <w:pPr>
        <w:pStyle w:val="ListParagraph"/>
        <w:numPr>
          <w:ilvl w:val="1"/>
          <w:numId w:val="1"/>
        </w:numPr>
        <w:rPr>
          <w:rFonts w:ascii="Bookman Old Style" w:hAnsi="Bookman Old Style"/>
          <w:color w:val="000000"/>
          <w:szCs w:val="24"/>
        </w:rPr>
      </w:pPr>
      <w:r w:rsidRPr="007170B1">
        <w:rPr>
          <w:rFonts w:ascii="Bookman Old Style" w:hAnsi="Bookman Old Style"/>
          <w:color w:val="000000"/>
          <w:szCs w:val="24"/>
        </w:rPr>
        <w:t>Course C</w:t>
      </w:r>
      <w:r w:rsidR="00A54290" w:rsidRPr="007170B1">
        <w:rPr>
          <w:rFonts w:ascii="Bookman Old Style" w:hAnsi="Bookman Old Style"/>
          <w:color w:val="000000"/>
          <w:szCs w:val="24"/>
        </w:rPr>
        <w:t>lassifications</w:t>
      </w:r>
      <w:r w:rsidRPr="007170B1">
        <w:rPr>
          <w:rFonts w:ascii="Bookman Old Style" w:hAnsi="Bookman Old Style"/>
          <w:color w:val="000000"/>
          <w:szCs w:val="24"/>
        </w:rPr>
        <w:t xml:space="preserve"> / Class Size</w:t>
      </w:r>
    </w:p>
    <w:p w14:paraId="473ED993" w14:textId="512DAB4D" w:rsidR="0035255F" w:rsidRPr="007170B1" w:rsidRDefault="00A54290" w:rsidP="0035255F">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 xml:space="preserve"> </w:t>
      </w:r>
      <w:r w:rsidR="0035255F" w:rsidRPr="007170B1">
        <w:rPr>
          <w:rFonts w:ascii="Bookman Old Style" w:hAnsi="Bookman Old Style"/>
          <w:color w:val="000000"/>
          <w:szCs w:val="24"/>
        </w:rPr>
        <w:t>For discussion:</w:t>
      </w:r>
    </w:p>
    <w:p w14:paraId="4030D257" w14:textId="5A25E81B" w:rsidR="00A54290" w:rsidRPr="007170B1" w:rsidRDefault="0035255F" w:rsidP="0035255F">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 xml:space="preserve">There’s a need for </w:t>
      </w:r>
      <w:r w:rsidR="00A54290" w:rsidRPr="007170B1">
        <w:rPr>
          <w:rFonts w:ascii="Bookman Old Style" w:hAnsi="Bookman Old Style"/>
          <w:color w:val="000000"/>
          <w:szCs w:val="24"/>
        </w:rPr>
        <w:t xml:space="preserve">flexibility as student enrollments fluctuate. </w:t>
      </w:r>
    </w:p>
    <w:p w14:paraId="65C88CFA" w14:textId="2BBD756F" w:rsidR="003630FF" w:rsidRPr="007170B1" w:rsidRDefault="003630FF" w:rsidP="003630FF">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Courses are classified with a ‘</w:t>
      </w:r>
      <w:hyperlink r:id="rId11" w:history="1">
        <w:r w:rsidRPr="007170B1">
          <w:rPr>
            <w:rStyle w:val="Hyperlink"/>
            <w:rFonts w:ascii="Bookman Old Style" w:hAnsi="Bookman Old Style"/>
            <w:szCs w:val="24"/>
          </w:rPr>
          <w:t>normal’ class size</w:t>
        </w:r>
      </w:hyperlink>
      <w:r w:rsidRPr="007170B1">
        <w:rPr>
          <w:rFonts w:ascii="Bookman Old Style" w:hAnsi="Bookman Old Style"/>
          <w:color w:val="000000"/>
          <w:szCs w:val="24"/>
        </w:rPr>
        <w:t>. It’s not a hard cap</w:t>
      </w:r>
      <w:r w:rsidR="00D931BD" w:rsidRPr="007170B1">
        <w:rPr>
          <w:rFonts w:ascii="Bookman Old Style" w:hAnsi="Bookman Old Style"/>
          <w:color w:val="000000"/>
          <w:szCs w:val="24"/>
        </w:rPr>
        <w:t xml:space="preserve">. </w:t>
      </w:r>
    </w:p>
    <w:p w14:paraId="276B1CCA" w14:textId="103AAB34" w:rsidR="00D931BD" w:rsidRPr="007170B1" w:rsidRDefault="003630FF" w:rsidP="0035255F">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 xml:space="preserve">Some departments have </w:t>
      </w:r>
      <w:r w:rsidR="00D931BD" w:rsidRPr="007170B1">
        <w:rPr>
          <w:rFonts w:ascii="Bookman Old Style" w:hAnsi="Bookman Old Style"/>
          <w:color w:val="000000"/>
          <w:szCs w:val="24"/>
        </w:rPr>
        <w:t xml:space="preserve">voted to raise the ‘normal’ size of classes. </w:t>
      </w:r>
      <w:r w:rsidR="0035255F" w:rsidRPr="007170B1">
        <w:rPr>
          <w:rFonts w:ascii="Bookman Old Style" w:hAnsi="Bookman Old Style"/>
          <w:color w:val="000000"/>
          <w:szCs w:val="24"/>
        </w:rPr>
        <w:t>Changes were predicated on questions like “what is past practice?” and “what are our current enrollment needs?”</w:t>
      </w:r>
    </w:p>
    <w:p w14:paraId="35C697F9" w14:textId="2B950C50" w:rsidR="0035255F" w:rsidRPr="007170B1" w:rsidRDefault="0035255F" w:rsidP="0035255F">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lastRenderedPageBreak/>
        <w:t>Synopsis of committee’s discussion points</w:t>
      </w:r>
      <w:r w:rsidR="002676B6" w:rsidRPr="007170B1">
        <w:rPr>
          <w:rFonts w:ascii="Bookman Old Style" w:hAnsi="Bookman Old Style"/>
          <w:color w:val="000000"/>
          <w:szCs w:val="24"/>
        </w:rPr>
        <w:t>:</w:t>
      </w:r>
    </w:p>
    <w:p w14:paraId="17C645A7" w14:textId="0BC5387C" w:rsidR="002676B6" w:rsidRPr="007170B1" w:rsidRDefault="002676B6" w:rsidP="002676B6">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 xml:space="preserve">Changing how a course is classified must be pedagogically sound. It’s one thing to enroll 23 students in a class that’s classified with a normal size of 20. It’s entirely different to enroll 40 in a class with a normal size of 20. </w:t>
      </w:r>
    </w:p>
    <w:p w14:paraId="11F70F06" w14:textId="1E07F79D" w:rsidR="002676B6" w:rsidRPr="007170B1" w:rsidRDefault="00D931BD" w:rsidP="003630FF">
      <w:pPr>
        <w:pStyle w:val="ListParagraph"/>
        <w:numPr>
          <w:ilvl w:val="3"/>
          <w:numId w:val="1"/>
        </w:numPr>
        <w:rPr>
          <w:rFonts w:ascii="Bookman Old Style" w:hAnsi="Bookman Old Style"/>
          <w:color w:val="000000"/>
          <w:szCs w:val="24"/>
        </w:rPr>
      </w:pPr>
      <w:r w:rsidRPr="007170B1">
        <w:rPr>
          <w:rFonts w:ascii="Bookman Old Style" w:hAnsi="Bookman Old Style"/>
          <w:color w:val="000000"/>
          <w:szCs w:val="24"/>
        </w:rPr>
        <w:t xml:space="preserve">How </w:t>
      </w:r>
      <w:r w:rsidR="002676B6" w:rsidRPr="007170B1">
        <w:rPr>
          <w:rFonts w:ascii="Bookman Old Style" w:hAnsi="Bookman Old Style"/>
          <w:color w:val="000000"/>
          <w:szCs w:val="24"/>
        </w:rPr>
        <w:t xml:space="preserve">should the university effectively communicate to faculty that </w:t>
      </w:r>
      <w:r w:rsidRPr="007170B1">
        <w:rPr>
          <w:rFonts w:ascii="Bookman Old Style" w:hAnsi="Bookman Old Style"/>
          <w:color w:val="000000"/>
          <w:szCs w:val="24"/>
        </w:rPr>
        <w:t>‘normal</w:t>
      </w:r>
      <w:r w:rsidR="002676B6" w:rsidRPr="007170B1">
        <w:rPr>
          <w:rFonts w:ascii="Bookman Old Style" w:hAnsi="Bookman Old Style"/>
          <w:color w:val="000000"/>
          <w:szCs w:val="24"/>
        </w:rPr>
        <w:t xml:space="preserve"> class size</w:t>
      </w:r>
      <w:r w:rsidRPr="007170B1">
        <w:rPr>
          <w:rFonts w:ascii="Bookman Old Style" w:hAnsi="Bookman Old Style"/>
          <w:color w:val="000000"/>
          <w:szCs w:val="24"/>
        </w:rPr>
        <w:t>’ is not a hard cap</w:t>
      </w:r>
      <w:r w:rsidR="002676B6" w:rsidRPr="007170B1">
        <w:rPr>
          <w:rFonts w:ascii="Bookman Old Style" w:hAnsi="Bookman Old Style"/>
          <w:color w:val="000000"/>
          <w:szCs w:val="24"/>
        </w:rPr>
        <w:t>?</w:t>
      </w:r>
    </w:p>
    <w:p w14:paraId="66FB5620" w14:textId="2F6EE2A5" w:rsidR="00D931BD" w:rsidRPr="007170B1" w:rsidRDefault="002676B6" w:rsidP="002676B6">
      <w:pPr>
        <w:pStyle w:val="ListParagraph"/>
        <w:numPr>
          <w:ilvl w:val="4"/>
          <w:numId w:val="1"/>
        </w:numPr>
        <w:rPr>
          <w:rFonts w:ascii="Bookman Old Style" w:hAnsi="Bookman Old Style"/>
          <w:color w:val="000000"/>
          <w:szCs w:val="24"/>
        </w:rPr>
      </w:pPr>
      <w:r w:rsidRPr="007170B1">
        <w:rPr>
          <w:rFonts w:ascii="Bookman Old Style" w:hAnsi="Bookman Old Style"/>
          <w:color w:val="000000"/>
          <w:szCs w:val="24"/>
        </w:rPr>
        <w:t xml:space="preserve">The information should be </w:t>
      </w:r>
      <w:r w:rsidR="00D931BD" w:rsidRPr="007170B1">
        <w:rPr>
          <w:rFonts w:ascii="Bookman Old Style" w:hAnsi="Bookman Old Style"/>
          <w:color w:val="000000"/>
          <w:szCs w:val="24"/>
        </w:rPr>
        <w:t>applied consistently</w:t>
      </w:r>
      <w:r w:rsidRPr="007170B1">
        <w:rPr>
          <w:rFonts w:ascii="Bookman Old Style" w:hAnsi="Bookman Old Style"/>
          <w:color w:val="000000"/>
          <w:szCs w:val="24"/>
        </w:rPr>
        <w:t>.</w:t>
      </w:r>
    </w:p>
    <w:p w14:paraId="390A56C0" w14:textId="726FE1FA" w:rsidR="002676B6" w:rsidRPr="007170B1" w:rsidRDefault="002676B6" w:rsidP="002676B6">
      <w:pPr>
        <w:pStyle w:val="ListParagraph"/>
        <w:numPr>
          <w:ilvl w:val="4"/>
          <w:numId w:val="1"/>
        </w:numPr>
        <w:rPr>
          <w:rFonts w:ascii="Bookman Old Style" w:hAnsi="Bookman Old Style"/>
          <w:color w:val="000000"/>
          <w:szCs w:val="24"/>
        </w:rPr>
      </w:pPr>
      <w:r w:rsidRPr="007170B1">
        <w:rPr>
          <w:rFonts w:ascii="Bookman Old Style" w:hAnsi="Bookman Old Style"/>
          <w:color w:val="000000"/>
          <w:szCs w:val="24"/>
        </w:rPr>
        <w:t xml:space="preserve">Department chairs need guidance on how much wiggle room is appropriate so that 1) class size is not increasing by too large a number or percent and 2) vulnerable faculty are not pressured into agreeing to increase their class size. </w:t>
      </w:r>
    </w:p>
    <w:p w14:paraId="493D2DE1" w14:textId="3D8556A5" w:rsidR="002676B6" w:rsidRPr="007170B1" w:rsidRDefault="002676B6" w:rsidP="002676B6">
      <w:pPr>
        <w:pStyle w:val="ListParagraph"/>
        <w:numPr>
          <w:ilvl w:val="3"/>
          <w:numId w:val="1"/>
        </w:numPr>
        <w:rPr>
          <w:rFonts w:ascii="Bookman Old Style" w:hAnsi="Bookman Old Style"/>
          <w:color w:val="000000"/>
          <w:szCs w:val="24"/>
        </w:rPr>
      </w:pPr>
      <w:r w:rsidRPr="007170B1">
        <w:rPr>
          <w:rFonts w:ascii="Bookman Old Style" w:hAnsi="Bookman Old Style"/>
          <w:b/>
          <w:bCs/>
          <w:color w:val="000000"/>
          <w:szCs w:val="24"/>
        </w:rPr>
        <w:t xml:space="preserve">Conversation was tabled for our next meeting. </w:t>
      </w:r>
    </w:p>
    <w:p w14:paraId="11EDD99A" w14:textId="4E01747A" w:rsidR="00BC5083" w:rsidRPr="007170B1" w:rsidRDefault="00BC5083" w:rsidP="00BC5083">
      <w:pPr>
        <w:rPr>
          <w:rFonts w:ascii="Bookman Old Style" w:hAnsi="Bookman Old Style"/>
          <w:color w:val="000000"/>
          <w:szCs w:val="24"/>
        </w:rPr>
      </w:pPr>
    </w:p>
    <w:p w14:paraId="6CC1AEB3" w14:textId="77777777" w:rsidR="007D5911" w:rsidRPr="007170B1" w:rsidRDefault="007D5911" w:rsidP="00943662">
      <w:pPr>
        <w:pStyle w:val="ListParagraph"/>
        <w:numPr>
          <w:ilvl w:val="0"/>
          <w:numId w:val="1"/>
        </w:numPr>
        <w:ind w:hanging="360"/>
        <w:rPr>
          <w:rFonts w:ascii="Bookman Old Style" w:hAnsi="Bookman Old Style"/>
          <w:color w:val="000000"/>
          <w:szCs w:val="24"/>
        </w:rPr>
      </w:pPr>
      <w:r w:rsidRPr="007170B1">
        <w:rPr>
          <w:rFonts w:ascii="Bookman Old Style" w:hAnsi="Bookman Old Style"/>
          <w:color w:val="000000"/>
          <w:szCs w:val="24"/>
        </w:rPr>
        <w:t>Old Business</w:t>
      </w:r>
    </w:p>
    <w:p w14:paraId="5D580D59" w14:textId="77777777" w:rsidR="007D5911" w:rsidRPr="007170B1" w:rsidRDefault="007D5911" w:rsidP="007D5911">
      <w:pPr>
        <w:pStyle w:val="ListParagraph"/>
        <w:rPr>
          <w:rFonts w:ascii="Bookman Old Style" w:hAnsi="Bookman Old Style"/>
          <w:color w:val="000000"/>
          <w:szCs w:val="24"/>
        </w:rPr>
      </w:pPr>
    </w:p>
    <w:p w14:paraId="0FD3CA56" w14:textId="77777777" w:rsidR="009F70ED" w:rsidRPr="007170B1" w:rsidRDefault="007D5911" w:rsidP="007D5911">
      <w:pPr>
        <w:pStyle w:val="ListParagraph"/>
        <w:numPr>
          <w:ilvl w:val="1"/>
          <w:numId w:val="1"/>
        </w:numPr>
        <w:rPr>
          <w:rFonts w:ascii="Bookman Old Style" w:hAnsi="Bookman Old Style"/>
          <w:color w:val="000000"/>
          <w:szCs w:val="24"/>
        </w:rPr>
      </w:pPr>
      <w:r w:rsidRPr="007170B1">
        <w:rPr>
          <w:rFonts w:ascii="Bookman Old Style" w:hAnsi="Bookman Old Style"/>
          <w:color w:val="000000"/>
          <w:szCs w:val="24"/>
        </w:rPr>
        <w:t xml:space="preserve">APM 335 – Policy on Periodic Review of Administrators. </w:t>
      </w:r>
    </w:p>
    <w:p w14:paraId="16050725" w14:textId="08ED39EC" w:rsidR="007D5911" w:rsidRPr="007170B1" w:rsidRDefault="007D5911" w:rsidP="009F70ED">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 xml:space="preserve">The committee discussed the </w:t>
      </w:r>
      <w:r w:rsidR="009313CF" w:rsidRPr="007170B1">
        <w:rPr>
          <w:rFonts w:ascii="Bookman Old Style" w:hAnsi="Bookman Old Style"/>
          <w:color w:val="000000"/>
          <w:szCs w:val="24"/>
        </w:rPr>
        <w:t>policy</w:t>
      </w:r>
      <w:r w:rsidR="009F70ED" w:rsidRPr="007170B1">
        <w:rPr>
          <w:rFonts w:ascii="Bookman Old Style" w:hAnsi="Bookman Old Style"/>
          <w:color w:val="000000"/>
          <w:szCs w:val="24"/>
        </w:rPr>
        <w:t xml:space="preserve"> in Spring 2020.</w:t>
      </w:r>
    </w:p>
    <w:p w14:paraId="341185CF" w14:textId="77777777" w:rsidR="009F70ED" w:rsidRPr="007170B1" w:rsidRDefault="007D5911" w:rsidP="004A63C7">
      <w:pPr>
        <w:pStyle w:val="ListParagraph"/>
        <w:numPr>
          <w:ilvl w:val="1"/>
          <w:numId w:val="1"/>
        </w:numPr>
        <w:rPr>
          <w:rFonts w:ascii="Bookman Old Style" w:hAnsi="Bookman Old Style"/>
          <w:color w:val="000000"/>
          <w:szCs w:val="24"/>
        </w:rPr>
      </w:pPr>
      <w:r w:rsidRPr="007170B1">
        <w:rPr>
          <w:rFonts w:ascii="Bookman Old Style" w:hAnsi="Bookman Old Style"/>
          <w:color w:val="000000"/>
          <w:szCs w:val="24"/>
        </w:rPr>
        <w:t>APM 242 – Policy and Procedures on Assignment of Grades.</w:t>
      </w:r>
    </w:p>
    <w:p w14:paraId="61AE90AF" w14:textId="3DDBCB42" w:rsidR="007D5911" w:rsidRPr="007170B1" w:rsidRDefault="007D5911" w:rsidP="009F70ED">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 xml:space="preserve">The committee </w:t>
      </w:r>
      <w:r w:rsidR="00736275" w:rsidRPr="007170B1">
        <w:rPr>
          <w:rFonts w:ascii="Bookman Old Style" w:hAnsi="Bookman Old Style"/>
          <w:color w:val="000000"/>
          <w:szCs w:val="24"/>
        </w:rPr>
        <w:t xml:space="preserve">continued to </w:t>
      </w:r>
      <w:r w:rsidRPr="007170B1">
        <w:rPr>
          <w:rFonts w:ascii="Bookman Old Style" w:hAnsi="Bookman Old Style"/>
          <w:color w:val="000000"/>
          <w:szCs w:val="24"/>
        </w:rPr>
        <w:t xml:space="preserve">discuss the possibility of modifying the policy to include consequences in the case of faculty that repeatedly miss the deadlines. </w:t>
      </w:r>
      <w:r w:rsidR="00736275" w:rsidRPr="007170B1">
        <w:rPr>
          <w:rFonts w:ascii="Bookman Old Style" w:hAnsi="Bookman Old Style"/>
          <w:color w:val="000000"/>
          <w:szCs w:val="24"/>
        </w:rPr>
        <w:t xml:space="preserve"> </w:t>
      </w:r>
    </w:p>
    <w:p w14:paraId="7EB9363C" w14:textId="1F472015" w:rsidR="00DD0B56" w:rsidRPr="007170B1" w:rsidRDefault="00DD0B56" w:rsidP="004A63C7">
      <w:pPr>
        <w:pStyle w:val="ListParagraph"/>
        <w:numPr>
          <w:ilvl w:val="1"/>
          <w:numId w:val="1"/>
        </w:numPr>
        <w:rPr>
          <w:rFonts w:ascii="Bookman Old Style" w:hAnsi="Bookman Old Style"/>
          <w:color w:val="000000"/>
          <w:szCs w:val="24"/>
        </w:rPr>
      </w:pPr>
      <w:r w:rsidRPr="007170B1">
        <w:rPr>
          <w:rFonts w:ascii="Bookman Old Style" w:hAnsi="Bookman Old Style"/>
          <w:color w:val="000000"/>
          <w:szCs w:val="24"/>
        </w:rPr>
        <w:t>APM 399 – Policy on Emerita and Emeritus Status</w:t>
      </w:r>
    </w:p>
    <w:p w14:paraId="06A67CDB" w14:textId="71907881" w:rsidR="009F70ED" w:rsidRPr="007170B1" w:rsidRDefault="009F70ED" w:rsidP="009F70ED">
      <w:pPr>
        <w:pStyle w:val="ListParagraph"/>
        <w:numPr>
          <w:ilvl w:val="2"/>
          <w:numId w:val="1"/>
        </w:numPr>
        <w:rPr>
          <w:rFonts w:ascii="Bookman Old Style" w:hAnsi="Bookman Old Style"/>
          <w:color w:val="000000"/>
          <w:szCs w:val="24"/>
        </w:rPr>
      </w:pPr>
      <w:r w:rsidRPr="007170B1">
        <w:rPr>
          <w:rFonts w:ascii="Bookman Old Style" w:hAnsi="Bookman Old Style"/>
          <w:color w:val="000000"/>
          <w:szCs w:val="24"/>
        </w:rPr>
        <w:t>The committee discussed the policy in Spring 2020.</w:t>
      </w:r>
    </w:p>
    <w:p w14:paraId="4AF7E338" w14:textId="77777777" w:rsidR="005D58B2" w:rsidRPr="007170B1" w:rsidRDefault="005D58B2" w:rsidP="003918B7">
      <w:pPr>
        <w:rPr>
          <w:rFonts w:ascii="Bookman Old Style" w:hAnsi="Bookman Old Style"/>
          <w:color w:val="000000"/>
          <w:szCs w:val="24"/>
        </w:rPr>
      </w:pPr>
    </w:p>
    <w:p w14:paraId="22D4AD52" w14:textId="2900F313" w:rsidR="00035181" w:rsidRPr="007170B1" w:rsidRDefault="005D694C" w:rsidP="007D5911">
      <w:pPr>
        <w:pStyle w:val="ListParagraph"/>
        <w:numPr>
          <w:ilvl w:val="0"/>
          <w:numId w:val="1"/>
        </w:numPr>
        <w:ind w:hanging="360"/>
        <w:rPr>
          <w:rFonts w:ascii="Bookman Old Style" w:hAnsi="Bookman Old Style"/>
          <w:bCs/>
          <w:color w:val="000000"/>
          <w:szCs w:val="24"/>
        </w:rPr>
      </w:pPr>
      <w:r w:rsidRPr="007170B1">
        <w:rPr>
          <w:rFonts w:ascii="Bookman Old Style" w:hAnsi="Bookman Old Style"/>
          <w:color w:val="000000"/>
          <w:szCs w:val="24"/>
        </w:rPr>
        <w:t>Motion to adjourn at</w:t>
      </w:r>
      <w:r w:rsidR="00EC42BB" w:rsidRPr="007170B1">
        <w:rPr>
          <w:rFonts w:ascii="Bookman Old Style" w:hAnsi="Bookman Old Style"/>
          <w:color w:val="000000"/>
          <w:szCs w:val="24"/>
        </w:rPr>
        <w:t xml:space="preserve"> 10:36 am. </w:t>
      </w:r>
    </w:p>
    <w:sectPr w:rsidR="00035181" w:rsidRPr="007170B1" w:rsidSect="00021D1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68C0" w14:textId="77777777" w:rsidR="00B863B7" w:rsidRDefault="00B863B7" w:rsidP="00F44094">
      <w:r>
        <w:separator/>
      </w:r>
    </w:p>
  </w:endnote>
  <w:endnote w:type="continuationSeparator" w:id="0">
    <w:p w14:paraId="1A3853C2" w14:textId="77777777" w:rsidR="00B863B7" w:rsidRDefault="00B863B7" w:rsidP="00F4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640C" w14:textId="77777777" w:rsidR="00B863B7" w:rsidRDefault="00B863B7" w:rsidP="00F44094">
      <w:r>
        <w:separator/>
      </w:r>
    </w:p>
  </w:footnote>
  <w:footnote w:type="continuationSeparator" w:id="0">
    <w:p w14:paraId="27118FA5" w14:textId="77777777" w:rsidR="00B863B7" w:rsidRDefault="00B863B7" w:rsidP="00F4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7878" w14:textId="3E9BF2E1" w:rsidR="00021D18" w:rsidRDefault="00021D18">
    <w:pPr>
      <w:pStyle w:val="Header"/>
      <w:jc w:val="right"/>
    </w:pPr>
    <w:r>
      <w:t>Personnel Committee</w:t>
    </w:r>
  </w:p>
  <w:p w14:paraId="5A9E1C71" w14:textId="79CE2586" w:rsidR="00021D18" w:rsidRDefault="00021D18">
    <w:pPr>
      <w:pStyle w:val="Header"/>
      <w:jc w:val="right"/>
    </w:pPr>
    <w:r>
      <w:t>September 3, 2020</w:t>
    </w:r>
  </w:p>
  <w:p w14:paraId="2D75DCB2" w14:textId="24CE8EF6" w:rsidR="00244618" w:rsidRDefault="00021D18">
    <w:pPr>
      <w:pStyle w:val="Header"/>
      <w:jc w:val="right"/>
    </w:pPr>
    <w:r>
      <w:t xml:space="preserve">Page </w:t>
    </w:r>
    <w:sdt>
      <w:sdtPr>
        <w:id w:val="1089658556"/>
        <w:docPartObj>
          <w:docPartGallery w:val="Page Numbers (Top of Page)"/>
          <w:docPartUnique/>
        </w:docPartObj>
      </w:sdtPr>
      <w:sdtEndPr>
        <w:rPr>
          <w:noProof/>
        </w:rPr>
      </w:sdtEndPr>
      <w:sdtContent>
        <w:r w:rsidR="00244618">
          <w:fldChar w:fldCharType="begin"/>
        </w:r>
        <w:r w:rsidR="00244618">
          <w:instrText xml:space="preserve"> PAGE   \* MERGEFORMAT </w:instrText>
        </w:r>
        <w:r w:rsidR="00244618">
          <w:fldChar w:fldCharType="separate"/>
        </w:r>
        <w:r>
          <w:rPr>
            <w:noProof/>
          </w:rPr>
          <w:t>5</w:t>
        </w:r>
        <w:r w:rsidR="00244618">
          <w:rPr>
            <w:noProof/>
          </w:rPr>
          <w:fldChar w:fldCharType="end"/>
        </w:r>
      </w:sdtContent>
    </w:sdt>
  </w:p>
  <w:p w14:paraId="11D627D9" w14:textId="77777777" w:rsidR="00F61022" w:rsidRDefault="00F61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75"/>
    <w:multiLevelType w:val="hybridMultilevel"/>
    <w:tmpl w:val="BBC2A46E"/>
    <w:lvl w:ilvl="0" w:tplc="CFC0858E">
      <w:start w:val="1"/>
      <w:numFmt w:val="decimal"/>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1C02"/>
    <w:multiLevelType w:val="hybridMultilevel"/>
    <w:tmpl w:val="5FEEC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1578"/>
    <w:multiLevelType w:val="hybridMultilevel"/>
    <w:tmpl w:val="EDF42A6A"/>
    <w:lvl w:ilvl="0" w:tplc="68748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86A7F"/>
    <w:multiLevelType w:val="hybridMultilevel"/>
    <w:tmpl w:val="94B42518"/>
    <w:lvl w:ilvl="0" w:tplc="DB108BA8">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01D3"/>
    <w:multiLevelType w:val="hybridMultilevel"/>
    <w:tmpl w:val="316C6FC0"/>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B6B71"/>
    <w:multiLevelType w:val="hybridMultilevel"/>
    <w:tmpl w:val="C15ECF04"/>
    <w:lvl w:ilvl="0" w:tplc="55E6D722">
      <w:start w:val="1"/>
      <w:numFmt w:val="bullet"/>
      <w:lvlText w:val=""/>
      <w:lvlJc w:val="left"/>
      <w:pPr>
        <w:ind w:left="2250" w:hanging="360"/>
      </w:pPr>
      <w:rPr>
        <w:rFonts w:ascii="Wingdings" w:eastAsia="Times New Roman" w:hAnsi="Wingdings"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25E78"/>
    <w:multiLevelType w:val="hybridMultilevel"/>
    <w:tmpl w:val="BB948EBA"/>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DF880D3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92AAA"/>
    <w:multiLevelType w:val="hybridMultilevel"/>
    <w:tmpl w:val="7624B14A"/>
    <w:lvl w:ilvl="0" w:tplc="EA08E7F6">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1C5847"/>
    <w:multiLevelType w:val="hybridMultilevel"/>
    <w:tmpl w:val="DFF0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02050"/>
    <w:multiLevelType w:val="hybridMultilevel"/>
    <w:tmpl w:val="BD6C6B0C"/>
    <w:lvl w:ilvl="0" w:tplc="A628CC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B22CE"/>
    <w:multiLevelType w:val="hybridMultilevel"/>
    <w:tmpl w:val="FB94ED26"/>
    <w:lvl w:ilvl="0" w:tplc="86141704">
      <w:start w:val="1"/>
      <w:numFmt w:val="decimal"/>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180"/>
      </w:pPr>
      <w:rPr>
        <w:rFonts w:hint="default"/>
      </w:rPr>
    </w:lvl>
    <w:lvl w:ilvl="3" w:tplc="04090019">
      <w:start w:val="1"/>
      <w:numFmt w:val="lowerLetter"/>
      <w:lvlText w:val="%4."/>
      <w:lvlJc w:val="left"/>
      <w:pPr>
        <w:ind w:left="2880" w:hanging="360"/>
      </w:pPr>
    </w:lvl>
    <w:lvl w:ilvl="4" w:tplc="AB3CAA10">
      <w:start w:val="1"/>
      <w:numFmt w:val="lowerRoman"/>
      <w:lvlText w:val="%5."/>
      <w:lvlJc w:val="left"/>
      <w:pPr>
        <w:ind w:left="3960" w:hanging="72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392849"/>
    <w:multiLevelType w:val="hybridMultilevel"/>
    <w:tmpl w:val="424CD7E6"/>
    <w:lvl w:ilvl="0" w:tplc="CFC0858E">
      <w:start w:val="1"/>
      <w:numFmt w:val="decimal"/>
      <w:lvlText w:val="%1."/>
      <w:lvlJc w:val="left"/>
      <w:pPr>
        <w:ind w:left="16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06BC7"/>
    <w:multiLevelType w:val="hybridMultilevel"/>
    <w:tmpl w:val="EB909116"/>
    <w:lvl w:ilvl="0" w:tplc="86141704">
      <w:start w:val="1"/>
      <w:numFmt w:val="decimal"/>
      <w:lvlText w:val="%1."/>
      <w:lvlJc w:val="left"/>
      <w:pPr>
        <w:ind w:left="720" w:hanging="720"/>
      </w:pPr>
      <w:rPr>
        <w:rFonts w:hint="default"/>
      </w:rPr>
    </w:lvl>
    <w:lvl w:ilvl="1" w:tplc="04090015">
      <w:start w:val="1"/>
      <w:numFmt w:val="upperLetter"/>
      <w:lvlText w:val="%2."/>
      <w:lvlJc w:val="left"/>
      <w:pPr>
        <w:ind w:left="1260" w:hanging="360"/>
      </w:pPr>
      <w:rPr>
        <w:rFonts w:hint="default"/>
      </w:rPr>
    </w:lvl>
    <w:lvl w:ilvl="2" w:tplc="0409001B">
      <w:start w:val="1"/>
      <w:numFmt w:val="lowerRoman"/>
      <w:lvlText w:val="%3."/>
      <w:lvlJc w:val="right"/>
      <w:pPr>
        <w:ind w:left="1710" w:hanging="180"/>
      </w:pPr>
    </w:lvl>
    <w:lvl w:ilvl="3" w:tplc="04090019">
      <w:start w:val="1"/>
      <w:numFmt w:val="lowerLetter"/>
      <w:lvlText w:val="%4."/>
      <w:lvlJc w:val="left"/>
      <w:pPr>
        <w:ind w:left="2520" w:hanging="360"/>
      </w:pPr>
    </w:lvl>
    <w:lvl w:ilvl="4" w:tplc="AB3CAA10">
      <w:start w:val="1"/>
      <w:numFmt w:val="lowerRoman"/>
      <w:lvlText w:val="%5."/>
      <w:lvlJc w:val="left"/>
      <w:pPr>
        <w:ind w:left="3510" w:hanging="72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3145F76"/>
    <w:multiLevelType w:val="hybridMultilevel"/>
    <w:tmpl w:val="DAFECFE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71F77"/>
    <w:multiLevelType w:val="hybridMultilevel"/>
    <w:tmpl w:val="7D885298"/>
    <w:lvl w:ilvl="0" w:tplc="A628CCC0">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06ED8"/>
    <w:multiLevelType w:val="hybridMultilevel"/>
    <w:tmpl w:val="6D248690"/>
    <w:lvl w:ilvl="0" w:tplc="A628CC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35DAE"/>
    <w:multiLevelType w:val="hybridMultilevel"/>
    <w:tmpl w:val="618A6F80"/>
    <w:lvl w:ilvl="0" w:tplc="04090015">
      <w:start w:val="1"/>
      <w:numFmt w:val="upperLetter"/>
      <w:lvlText w:val="%1."/>
      <w:lvlJc w:val="left"/>
      <w:pPr>
        <w:ind w:left="1980" w:hanging="720"/>
      </w:pPr>
      <w:rPr>
        <w:rFonts w:hint="default"/>
      </w:rPr>
    </w:lvl>
    <w:lvl w:ilvl="1" w:tplc="04090015">
      <w:start w:val="1"/>
      <w:numFmt w:val="upp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A1D4D9D"/>
    <w:multiLevelType w:val="hybridMultilevel"/>
    <w:tmpl w:val="C7EE95BA"/>
    <w:lvl w:ilvl="0" w:tplc="CFC0858E">
      <w:start w:val="1"/>
      <w:numFmt w:val="decimal"/>
      <w:lvlText w:val="%1."/>
      <w:lvlJc w:val="left"/>
      <w:pPr>
        <w:ind w:left="1620" w:hanging="720"/>
      </w:pPr>
      <w:rPr>
        <w:rFonts w:hint="default"/>
      </w:rPr>
    </w:lvl>
    <w:lvl w:ilvl="1" w:tplc="33A4672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3738"/>
    <w:multiLevelType w:val="hybridMultilevel"/>
    <w:tmpl w:val="3D44B7F4"/>
    <w:lvl w:ilvl="0" w:tplc="86141704">
      <w:start w:val="1"/>
      <w:numFmt w:val="decimal"/>
      <w:lvlText w:val="%1."/>
      <w:lvlJc w:val="left"/>
      <w:pPr>
        <w:ind w:left="1620" w:hanging="720"/>
      </w:pPr>
      <w:rPr>
        <w:rFonts w:hint="default"/>
      </w:rPr>
    </w:lvl>
    <w:lvl w:ilvl="1" w:tplc="1706C4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C0396"/>
    <w:multiLevelType w:val="hybridMultilevel"/>
    <w:tmpl w:val="3DC4FEA6"/>
    <w:lvl w:ilvl="0" w:tplc="734A3C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A4E48"/>
    <w:multiLevelType w:val="hybridMultilevel"/>
    <w:tmpl w:val="AB2C37A6"/>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21333"/>
    <w:multiLevelType w:val="hybridMultilevel"/>
    <w:tmpl w:val="8DE2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56112"/>
    <w:multiLevelType w:val="hybridMultilevel"/>
    <w:tmpl w:val="759EC476"/>
    <w:lvl w:ilvl="0" w:tplc="E4F05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3D271A"/>
    <w:multiLevelType w:val="hybridMultilevel"/>
    <w:tmpl w:val="6EE0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02D93"/>
    <w:multiLevelType w:val="hybridMultilevel"/>
    <w:tmpl w:val="169E0DEA"/>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540AC"/>
    <w:multiLevelType w:val="hybridMultilevel"/>
    <w:tmpl w:val="A2563E4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E7FB5"/>
    <w:multiLevelType w:val="hybridMultilevel"/>
    <w:tmpl w:val="497CB1BE"/>
    <w:lvl w:ilvl="0" w:tplc="0409000F">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15"/>
  </w:num>
  <w:num w:numId="4">
    <w:abstractNumId w:val="6"/>
  </w:num>
  <w:num w:numId="5">
    <w:abstractNumId w:val="4"/>
  </w:num>
  <w:num w:numId="6">
    <w:abstractNumId w:val="16"/>
  </w:num>
  <w:num w:numId="7">
    <w:abstractNumId w:val="20"/>
  </w:num>
  <w:num w:numId="8">
    <w:abstractNumId w:val="3"/>
  </w:num>
  <w:num w:numId="9">
    <w:abstractNumId w:val="17"/>
  </w:num>
  <w:num w:numId="10">
    <w:abstractNumId w:val="11"/>
  </w:num>
  <w:num w:numId="11">
    <w:abstractNumId w:val="21"/>
  </w:num>
  <w:num w:numId="12">
    <w:abstractNumId w:val="33"/>
  </w:num>
  <w:num w:numId="13">
    <w:abstractNumId w:val="5"/>
  </w:num>
  <w:num w:numId="14">
    <w:abstractNumId w:val="29"/>
  </w:num>
  <w:num w:numId="15">
    <w:abstractNumId w:val="34"/>
  </w:num>
  <w:num w:numId="16">
    <w:abstractNumId w:val="26"/>
  </w:num>
  <w:num w:numId="17">
    <w:abstractNumId w:val="0"/>
  </w:num>
  <w:num w:numId="18">
    <w:abstractNumId w:val="25"/>
  </w:num>
  <w:num w:numId="19">
    <w:abstractNumId w:val="18"/>
  </w:num>
  <w:num w:numId="20">
    <w:abstractNumId w:val="10"/>
  </w:num>
  <w:num w:numId="21">
    <w:abstractNumId w:val="7"/>
  </w:num>
  <w:num w:numId="22">
    <w:abstractNumId w:val="31"/>
  </w:num>
  <w:num w:numId="23">
    <w:abstractNumId w:val="2"/>
  </w:num>
  <w:num w:numId="24">
    <w:abstractNumId w:val="27"/>
  </w:num>
  <w:num w:numId="25">
    <w:abstractNumId w:val="9"/>
  </w:num>
  <w:num w:numId="26">
    <w:abstractNumId w:val="13"/>
  </w:num>
  <w:num w:numId="27">
    <w:abstractNumId w:val="23"/>
  </w:num>
  <w:num w:numId="28">
    <w:abstractNumId w:val="22"/>
  </w:num>
  <w:num w:numId="29">
    <w:abstractNumId w:val="22"/>
    <w:lvlOverride w:ilvl="0">
      <w:lvl w:ilvl="0" w:tplc="A628CCC0">
        <w:start w:val="1"/>
        <w:numFmt w:val="decimal"/>
        <w:lvlText w:val="%1."/>
        <w:lvlJc w:val="left"/>
        <w:pPr>
          <w:ind w:left="1440" w:hanging="360"/>
        </w:pPr>
      </w:lvl>
    </w:lvlOverride>
    <w:lvlOverride w:ilvl="1">
      <w:lvl w:ilvl="1" w:tplc="04090015">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30">
    <w:abstractNumId w:val="35"/>
  </w:num>
  <w:num w:numId="31">
    <w:abstractNumId w:val="14"/>
  </w:num>
  <w:num w:numId="32">
    <w:abstractNumId w:val="32"/>
  </w:num>
  <w:num w:numId="33">
    <w:abstractNumId w:val="30"/>
  </w:num>
  <w:num w:numId="34">
    <w:abstractNumId w:val="1"/>
  </w:num>
  <w:num w:numId="35">
    <w:abstractNumId w:val="12"/>
  </w:num>
  <w:num w:numId="36">
    <w:abstractNumId w:val="2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6"/>
    <w:rsid w:val="00004E72"/>
    <w:rsid w:val="000056D7"/>
    <w:rsid w:val="00011384"/>
    <w:rsid w:val="00015A5C"/>
    <w:rsid w:val="00021D18"/>
    <w:rsid w:val="00024B07"/>
    <w:rsid w:val="000302B8"/>
    <w:rsid w:val="000338FE"/>
    <w:rsid w:val="00035181"/>
    <w:rsid w:val="00040698"/>
    <w:rsid w:val="00043249"/>
    <w:rsid w:val="0005059B"/>
    <w:rsid w:val="00054DD4"/>
    <w:rsid w:val="000729A4"/>
    <w:rsid w:val="0007340C"/>
    <w:rsid w:val="00082386"/>
    <w:rsid w:val="0008471D"/>
    <w:rsid w:val="00087833"/>
    <w:rsid w:val="000932D2"/>
    <w:rsid w:val="000A5BCA"/>
    <w:rsid w:val="000B44D2"/>
    <w:rsid w:val="000C39B1"/>
    <w:rsid w:val="000C4EB9"/>
    <w:rsid w:val="000C5041"/>
    <w:rsid w:val="000E3C92"/>
    <w:rsid w:val="001008AB"/>
    <w:rsid w:val="00111242"/>
    <w:rsid w:val="001213A1"/>
    <w:rsid w:val="00124AA4"/>
    <w:rsid w:val="00124DFD"/>
    <w:rsid w:val="001274E9"/>
    <w:rsid w:val="00131A7C"/>
    <w:rsid w:val="00134D26"/>
    <w:rsid w:val="00144B36"/>
    <w:rsid w:val="0016788A"/>
    <w:rsid w:val="00170F92"/>
    <w:rsid w:val="00171D6E"/>
    <w:rsid w:val="00174540"/>
    <w:rsid w:val="00180487"/>
    <w:rsid w:val="001812F8"/>
    <w:rsid w:val="00182746"/>
    <w:rsid w:val="00182F76"/>
    <w:rsid w:val="001862A6"/>
    <w:rsid w:val="00191D50"/>
    <w:rsid w:val="0019531E"/>
    <w:rsid w:val="00196FC2"/>
    <w:rsid w:val="001A61DF"/>
    <w:rsid w:val="001A6C27"/>
    <w:rsid w:val="001B2609"/>
    <w:rsid w:val="001B3397"/>
    <w:rsid w:val="001B61AF"/>
    <w:rsid w:val="001B7E80"/>
    <w:rsid w:val="001D07E5"/>
    <w:rsid w:val="001D093E"/>
    <w:rsid w:val="001D428A"/>
    <w:rsid w:val="001D4712"/>
    <w:rsid w:val="001D5029"/>
    <w:rsid w:val="001D5742"/>
    <w:rsid w:val="001E16DF"/>
    <w:rsid w:val="001E26E0"/>
    <w:rsid w:val="001E32AE"/>
    <w:rsid w:val="001E4ACE"/>
    <w:rsid w:val="001F32C4"/>
    <w:rsid w:val="00200095"/>
    <w:rsid w:val="002019DD"/>
    <w:rsid w:val="00205058"/>
    <w:rsid w:val="0021758A"/>
    <w:rsid w:val="002209F7"/>
    <w:rsid w:val="00233E35"/>
    <w:rsid w:val="00242D27"/>
    <w:rsid w:val="00244618"/>
    <w:rsid w:val="0024521F"/>
    <w:rsid w:val="002478FE"/>
    <w:rsid w:val="002573D8"/>
    <w:rsid w:val="00260FAB"/>
    <w:rsid w:val="00263306"/>
    <w:rsid w:val="00264A06"/>
    <w:rsid w:val="00266DDA"/>
    <w:rsid w:val="002676B6"/>
    <w:rsid w:val="002765CD"/>
    <w:rsid w:val="00280167"/>
    <w:rsid w:val="00285D53"/>
    <w:rsid w:val="0028677B"/>
    <w:rsid w:val="002948F8"/>
    <w:rsid w:val="00295238"/>
    <w:rsid w:val="002A0FB6"/>
    <w:rsid w:val="002A4073"/>
    <w:rsid w:val="002B1915"/>
    <w:rsid w:val="002B21BD"/>
    <w:rsid w:val="002B4B25"/>
    <w:rsid w:val="002B63EF"/>
    <w:rsid w:val="002B7267"/>
    <w:rsid w:val="002C0E09"/>
    <w:rsid w:val="002C1EFF"/>
    <w:rsid w:val="002C4FC7"/>
    <w:rsid w:val="002D143C"/>
    <w:rsid w:val="002D3203"/>
    <w:rsid w:val="002D54E0"/>
    <w:rsid w:val="002F22B1"/>
    <w:rsid w:val="002F2A53"/>
    <w:rsid w:val="002F35D6"/>
    <w:rsid w:val="002F5382"/>
    <w:rsid w:val="003026CC"/>
    <w:rsid w:val="003028F8"/>
    <w:rsid w:val="00303896"/>
    <w:rsid w:val="00307805"/>
    <w:rsid w:val="00307C54"/>
    <w:rsid w:val="00310A9F"/>
    <w:rsid w:val="003110B2"/>
    <w:rsid w:val="0031250E"/>
    <w:rsid w:val="00312FD5"/>
    <w:rsid w:val="00313B12"/>
    <w:rsid w:val="00321F88"/>
    <w:rsid w:val="00325A17"/>
    <w:rsid w:val="003270CA"/>
    <w:rsid w:val="00337ADA"/>
    <w:rsid w:val="00341E43"/>
    <w:rsid w:val="00342132"/>
    <w:rsid w:val="003423D5"/>
    <w:rsid w:val="003513D8"/>
    <w:rsid w:val="0035255F"/>
    <w:rsid w:val="00356A44"/>
    <w:rsid w:val="00361143"/>
    <w:rsid w:val="00361B2E"/>
    <w:rsid w:val="003627EA"/>
    <w:rsid w:val="003630FF"/>
    <w:rsid w:val="0036453D"/>
    <w:rsid w:val="003704B0"/>
    <w:rsid w:val="003738C9"/>
    <w:rsid w:val="00375D65"/>
    <w:rsid w:val="00382086"/>
    <w:rsid w:val="003856AF"/>
    <w:rsid w:val="0039056D"/>
    <w:rsid w:val="003918B7"/>
    <w:rsid w:val="00397114"/>
    <w:rsid w:val="003B3ACB"/>
    <w:rsid w:val="003B4F4F"/>
    <w:rsid w:val="003C0392"/>
    <w:rsid w:val="003C143E"/>
    <w:rsid w:val="003C19AF"/>
    <w:rsid w:val="003C1A2C"/>
    <w:rsid w:val="003C2D60"/>
    <w:rsid w:val="003C4CF7"/>
    <w:rsid w:val="003D1E1E"/>
    <w:rsid w:val="003D2528"/>
    <w:rsid w:val="003D5583"/>
    <w:rsid w:val="003D59C4"/>
    <w:rsid w:val="003E05FF"/>
    <w:rsid w:val="003E3C72"/>
    <w:rsid w:val="003E71AB"/>
    <w:rsid w:val="003F0D42"/>
    <w:rsid w:val="003F6C79"/>
    <w:rsid w:val="00401EE1"/>
    <w:rsid w:val="004026EE"/>
    <w:rsid w:val="00411121"/>
    <w:rsid w:val="004131A1"/>
    <w:rsid w:val="00413940"/>
    <w:rsid w:val="00417FBA"/>
    <w:rsid w:val="00420A88"/>
    <w:rsid w:val="0042208A"/>
    <w:rsid w:val="00422708"/>
    <w:rsid w:val="00422ED8"/>
    <w:rsid w:val="00423056"/>
    <w:rsid w:val="00424C4E"/>
    <w:rsid w:val="00430759"/>
    <w:rsid w:val="00431105"/>
    <w:rsid w:val="0043112B"/>
    <w:rsid w:val="0044395B"/>
    <w:rsid w:val="0044409E"/>
    <w:rsid w:val="0045067A"/>
    <w:rsid w:val="004524FD"/>
    <w:rsid w:val="00456C94"/>
    <w:rsid w:val="00457E4C"/>
    <w:rsid w:val="004604A3"/>
    <w:rsid w:val="00463DF1"/>
    <w:rsid w:val="00465A29"/>
    <w:rsid w:val="00471CA8"/>
    <w:rsid w:val="00472A38"/>
    <w:rsid w:val="004730DC"/>
    <w:rsid w:val="00476C4F"/>
    <w:rsid w:val="00481A01"/>
    <w:rsid w:val="00481E51"/>
    <w:rsid w:val="00484FFF"/>
    <w:rsid w:val="00495CC8"/>
    <w:rsid w:val="004A25F6"/>
    <w:rsid w:val="004A5A71"/>
    <w:rsid w:val="004A63C7"/>
    <w:rsid w:val="004B012F"/>
    <w:rsid w:val="004B375C"/>
    <w:rsid w:val="004C017E"/>
    <w:rsid w:val="004C180C"/>
    <w:rsid w:val="004C3D2E"/>
    <w:rsid w:val="004C6322"/>
    <w:rsid w:val="004D2FDB"/>
    <w:rsid w:val="004D3897"/>
    <w:rsid w:val="004D478F"/>
    <w:rsid w:val="004D5512"/>
    <w:rsid w:val="004D5E8D"/>
    <w:rsid w:val="004E0B5D"/>
    <w:rsid w:val="004E1966"/>
    <w:rsid w:val="004E43F2"/>
    <w:rsid w:val="004E4B3C"/>
    <w:rsid w:val="004F273E"/>
    <w:rsid w:val="004F463B"/>
    <w:rsid w:val="004F49DE"/>
    <w:rsid w:val="00500863"/>
    <w:rsid w:val="00506FEE"/>
    <w:rsid w:val="0051339A"/>
    <w:rsid w:val="00516075"/>
    <w:rsid w:val="00524F98"/>
    <w:rsid w:val="005258A3"/>
    <w:rsid w:val="00533237"/>
    <w:rsid w:val="0053545E"/>
    <w:rsid w:val="005363B3"/>
    <w:rsid w:val="0053695B"/>
    <w:rsid w:val="0054038C"/>
    <w:rsid w:val="005447C0"/>
    <w:rsid w:val="005519BC"/>
    <w:rsid w:val="00560227"/>
    <w:rsid w:val="00560287"/>
    <w:rsid w:val="0056694C"/>
    <w:rsid w:val="00566F60"/>
    <w:rsid w:val="005672CA"/>
    <w:rsid w:val="00574223"/>
    <w:rsid w:val="00577C6D"/>
    <w:rsid w:val="00577D81"/>
    <w:rsid w:val="005862FB"/>
    <w:rsid w:val="005873F0"/>
    <w:rsid w:val="00587D63"/>
    <w:rsid w:val="00587ECE"/>
    <w:rsid w:val="0059191E"/>
    <w:rsid w:val="00591CE9"/>
    <w:rsid w:val="0059339F"/>
    <w:rsid w:val="005A3C6E"/>
    <w:rsid w:val="005A5E4F"/>
    <w:rsid w:val="005B12E1"/>
    <w:rsid w:val="005B2CC4"/>
    <w:rsid w:val="005B34BB"/>
    <w:rsid w:val="005B3FB3"/>
    <w:rsid w:val="005B66B4"/>
    <w:rsid w:val="005C041C"/>
    <w:rsid w:val="005C0DDA"/>
    <w:rsid w:val="005C140B"/>
    <w:rsid w:val="005D0D0D"/>
    <w:rsid w:val="005D3A0B"/>
    <w:rsid w:val="005D58B2"/>
    <w:rsid w:val="005D694C"/>
    <w:rsid w:val="005D7A08"/>
    <w:rsid w:val="005E030C"/>
    <w:rsid w:val="005E11C8"/>
    <w:rsid w:val="005F2560"/>
    <w:rsid w:val="005F5622"/>
    <w:rsid w:val="006056C8"/>
    <w:rsid w:val="00607CF8"/>
    <w:rsid w:val="00620CF0"/>
    <w:rsid w:val="006237F9"/>
    <w:rsid w:val="00626F57"/>
    <w:rsid w:val="00641FC1"/>
    <w:rsid w:val="006420A2"/>
    <w:rsid w:val="0064228C"/>
    <w:rsid w:val="00650EB7"/>
    <w:rsid w:val="00655FE8"/>
    <w:rsid w:val="006562D8"/>
    <w:rsid w:val="006569A9"/>
    <w:rsid w:val="00660664"/>
    <w:rsid w:val="006659D5"/>
    <w:rsid w:val="0067060B"/>
    <w:rsid w:val="00671579"/>
    <w:rsid w:val="00673DE8"/>
    <w:rsid w:val="00675FC3"/>
    <w:rsid w:val="00681DBC"/>
    <w:rsid w:val="00697A6D"/>
    <w:rsid w:val="006A33B2"/>
    <w:rsid w:val="006B2FD0"/>
    <w:rsid w:val="006B3833"/>
    <w:rsid w:val="006B7EC2"/>
    <w:rsid w:val="006C48F4"/>
    <w:rsid w:val="006C5529"/>
    <w:rsid w:val="006C592B"/>
    <w:rsid w:val="006C713E"/>
    <w:rsid w:val="006D4CE3"/>
    <w:rsid w:val="006E0C2E"/>
    <w:rsid w:val="006E48A3"/>
    <w:rsid w:val="006F324E"/>
    <w:rsid w:val="006F3F1A"/>
    <w:rsid w:val="006F7F7B"/>
    <w:rsid w:val="00706893"/>
    <w:rsid w:val="007105CF"/>
    <w:rsid w:val="00711B2A"/>
    <w:rsid w:val="00716E14"/>
    <w:rsid w:val="007170B1"/>
    <w:rsid w:val="00724409"/>
    <w:rsid w:val="007318BA"/>
    <w:rsid w:val="00733026"/>
    <w:rsid w:val="0073409B"/>
    <w:rsid w:val="00736275"/>
    <w:rsid w:val="0073674E"/>
    <w:rsid w:val="00742270"/>
    <w:rsid w:val="00743365"/>
    <w:rsid w:val="007467EC"/>
    <w:rsid w:val="0074685A"/>
    <w:rsid w:val="00751F81"/>
    <w:rsid w:val="00756DE8"/>
    <w:rsid w:val="0076042C"/>
    <w:rsid w:val="00767EE6"/>
    <w:rsid w:val="00770FF1"/>
    <w:rsid w:val="007756B7"/>
    <w:rsid w:val="007866F2"/>
    <w:rsid w:val="00792935"/>
    <w:rsid w:val="00794AE6"/>
    <w:rsid w:val="007A0C03"/>
    <w:rsid w:val="007A5A6E"/>
    <w:rsid w:val="007A7936"/>
    <w:rsid w:val="007B073F"/>
    <w:rsid w:val="007B21E3"/>
    <w:rsid w:val="007B2E0D"/>
    <w:rsid w:val="007B4D84"/>
    <w:rsid w:val="007C398A"/>
    <w:rsid w:val="007C4CF2"/>
    <w:rsid w:val="007C4E20"/>
    <w:rsid w:val="007D000D"/>
    <w:rsid w:val="007D0192"/>
    <w:rsid w:val="007D062D"/>
    <w:rsid w:val="007D5911"/>
    <w:rsid w:val="007E11EF"/>
    <w:rsid w:val="007E12B3"/>
    <w:rsid w:val="007E3560"/>
    <w:rsid w:val="007E49D1"/>
    <w:rsid w:val="007E4ACE"/>
    <w:rsid w:val="007F2A68"/>
    <w:rsid w:val="007F70FE"/>
    <w:rsid w:val="007F7404"/>
    <w:rsid w:val="00805102"/>
    <w:rsid w:val="008102A6"/>
    <w:rsid w:val="00811D52"/>
    <w:rsid w:val="00813CAA"/>
    <w:rsid w:val="00814A10"/>
    <w:rsid w:val="00814E3F"/>
    <w:rsid w:val="00816A30"/>
    <w:rsid w:val="00817708"/>
    <w:rsid w:val="00821B6B"/>
    <w:rsid w:val="00835042"/>
    <w:rsid w:val="00841481"/>
    <w:rsid w:val="00844DBF"/>
    <w:rsid w:val="00844FB0"/>
    <w:rsid w:val="00850E4A"/>
    <w:rsid w:val="0086486F"/>
    <w:rsid w:val="00865315"/>
    <w:rsid w:val="00865A96"/>
    <w:rsid w:val="00865C73"/>
    <w:rsid w:val="008708E9"/>
    <w:rsid w:val="0088136F"/>
    <w:rsid w:val="00892724"/>
    <w:rsid w:val="008967C8"/>
    <w:rsid w:val="008A0D49"/>
    <w:rsid w:val="008A503A"/>
    <w:rsid w:val="008B0229"/>
    <w:rsid w:val="008B2E09"/>
    <w:rsid w:val="008C4C97"/>
    <w:rsid w:val="008C6395"/>
    <w:rsid w:val="008C6E2B"/>
    <w:rsid w:val="008D501D"/>
    <w:rsid w:val="008D7DCC"/>
    <w:rsid w:val="008E1280"/>
    <w:rsid w:val="008E687A"/>
    <w:rsid w:val="008F37FE"/>
    <w:rsid w:val="008F5C8D"/>
    <w:rsid w:val="008F68AA"/>
    <w:rsid w:val="008F6FC1"/>
    <w:rsid w:val="008F7B54"/>
    <w:rsid w:val="009033E2"/>
    <w:rsid w:val="0091632F"/>
    <w:rsid w:val="00923A2C"/>
    <w:rsid w:val="009313CF"/>
    <w:rsid w:val="00935A86"/>
    <w:rsid w:val="00941AB6"/>
    <w:rsid w:val="00941E36"/>
    <w:rsid w:val="00943662"/>
    <w:rsid w:val="009507BC"/>
    <w:rsid w:val="009508B0"/>
    <w:rsid w:val="00953467"/>
    <w:rsid w:val="009565C3"/>
    <w:rsid w:val="009572D1"/>
    <w:rsid w:val="009574C7"/>
    <w:rsid w:val="00965503"/>
    <w:rsid w:val="00966E50"/>
    <w:rsid w:val="00970CB9"/>
    <w:rsid w:val="00973744"/>
    <w:rsid w:val="009740D7"/>
    <w:rsid w:val="009744AC"/>
    <w:rsid w:val="00974D68"/>
    <w:rsid w:val="00981BB1"/>
    <w:rsid w:val="00983CA0"/>
    <w:rsid w:val="00984857"/>
    <w:rsid w:val="00992329"/>
    <w:rsid w:val="009A67A3"/>
    <w:rsid w:val="009B49BD"/>
    <w:rsid w:val="009C1A44"/>
    <w:rsid w:val="009C334D"/>
    <w:rsid w:val="009C4987"/>
    <w:rsid w:val="009C6A35"/>
    <w:rsid w:val="009C6E0C"/>
    <w:rsid w:val="009D3EE0"/>
    <w:rsid w:val="009D64BA"/>
    <w:rsid w:val="009D72F2"/>
    <w:rsid w:val="009F70ED"/>
    <w:rsid w:val="00A00085"/>
    <w:rsid w:val="00A02150"/>
    <w:rsid w:val="00A051B8"/>
    <w:rsid w:val="00A1274A"/>
    <w:rsid w:val="00A24387"/>
    <w:rsid w:val="00A30D86"/>
    <w:rsid w:val="00A31F6A"/>
    <w:rsid w:val="00A370C0"/>
    <w:rsid w:val="00A405A0"/>
    <w:rsid w:val="00A4439C"/>
    <w:rsid w:val="00A45C51"/>
    <w:rsid w:val="00A531BE"/>
    <w:rsid w:val="00A53631"/>
    <w:rsid w:val="00A54290"/>
    <w:rsid w:val="00A619F9"/>
    <w:rsid w:val="00A734EA"/>
    <w:rsid w:val="00A813ED"/>
    <w:rsid w:val="00A82014"/>
    <w:rsid w:val="00A866E2"/>
    <w:rsid w:val="00A86BBD"/>
    <w:rsid w:val="00A87762"/>
    <w:rsid w:val="00A87A2C"/>
    <w:rsid w:val="00A970A0"/>
    <w:rsid w:val="00A97247"/>
    <w:rsid w:val="00AA29D3"/>
    <w:rsid w:val="00AA6219"/>
    <w:rsid w:val="00AB1332"/>
    <w:rsid w:val="00AB5424"/>
    <w:rsid w:val="00AB7148"/>
    <w:rsid w:val="00AC086D"/>
    <w:rsid w:val="00AC2649"/>
    <w:rsid w:val="00AC7ECF"/>
    <w:rsid w:val="00AE166E"/>
    <w:rsid w:val="00AE4963"/>
    <w:rsid w:val="00AF5256"/>
    <w:rsid w:val="00AF6A32"/>
    <w:rsid w:val="00B02555"/>
    <w:rsid w:val="00B0711A"/>
    <w:rsid w:val="00B153D2"/>
    <w:rsid w:val="00B26135"/>
    <w:rsid w:val="00B36B2F"/>
    <w:rsid w:val="00B37620"/>
    <w:rsid w:val="00B44F33"/>
    <w:rsid w:val="00B50501"/>
    <w:rsid w:val="00B65C9B"/>
    <w:rsid w:val="00B70A02"/>
    <w:rsid w:val="00B71A9A"/>
    <w:rsid w:val="00B7665F"/>
    <w:rsid w:val="00B82F96"/>
    <w:rsid w:val="00B863B7"/>
    <w:rsid w:val="00B86946"/>
    <w:rsid w:val="00B9379D"/>
    <w:rsid w:val="00B95534"/>
    <w:rsid w:val="00B95FC6"/>
    <w:rsid w:val="00B9661A"/>
    <w:rsid w:val="00BA1FA6"/>
    <w:rsid w:val="00BA22E1"/>
    <w:rsid w:val="00BA7311"/>
    <w:rsid w:val="00BB1F47"/>
    <w:rsid w:val="00BB70C3"/>
    <w:rsid w:val="00BC1E40"/>
    <w:rsid w:val="00BC29A2"/>
    <w:rsid w:val="00BC3999"/>
    <w:rsid w:val="00BC421D"/>
    <w:rsid w:val="00BC5083"/>
    <w:rsid w:val="00BD5E89"/>
    <w:rsid w:val="00BD62B2"/>
    <w:rsid w:val="00BE099D"/>
    <w:rsid w:val="00BE24C4"/>
    <w:rsid w:val="00BE2D5B"/>
    <w:rsid w:val="00BE663B"/>
    <w:rsid w:val="00BE75BE"/>
    <w:rsid w:val="00BF09F1"/>
    <w:rsid w:val="00BF0BE2"/>
    <w:rsid w:val="00BF1C81"/>
    <w:rsid w:val="00C01C41"/>
    <w:rsid w:val="00C02E6A"/>
    <w:rsid w:val="00C10A3B"/>
    <w:rsid w:val="00C12D2B"/>
    <w:rsid w:val="00C15381"/>
    <w:rsid w:val="00C15872"/>
    <w:rsid w:val="00C20587"/>
    <w:rsid w:val="00C2177E"/>
    <w:rsid w:val="00C21CC8"/>
    <w:rsid w:val="00C221E7"/>
    <w:rsid w:val="00C247AD"/>
    <w:rsid w:val="00C25B6F"/>
    <w:rsid w:val="00C32446"/>
    <w:rsid w:val="00C3268C"/>
    <w:rsid w:val="00C36D27"/>
    <w:rsid w:val="00C45FB1"/>
    <w:rsid w:val="00C52B72"/>
    <w:rsid w:val="00C546B5"/>
    <w:rsid w:val="00C54BA3"/>
    <w:rsid w:val="00C64A17"/>
    <w:rsid w:val="00C67665"/>
    <w:rsid w:val="00C720E7"/>
    <w:rsid w:val="00C74634"/>
    <w:rsid w:val="00C83053"/>
    <w:rsid w:val="00C832F9"/>
    <w:rsid w:val="00C83771"/>
    <w:rsid w:val="00C854AC"/>
    <w:rsid w:val="00C90CEB"/>
    <w:rsid w:val="00CA45DF"/>
    <w:rsid w:val="00CA5398"/>
    <w:rsid w:val="00CA5A82"/>
    <w:rsid w:val="00CA6AE6"/>
    <w:rsid w:val="00CB70EA"/>
    <w:rsid w:val="00CC0BD8"/>
    <w:rsid w:val="00CC1ADA"/>
    <w:rsid w:val="00CC20EE"/>
    <w:rsid w:val="00CC5536"/>
    <w:rsid w:val="00CC67B1"/>
    <w:rsid w:val="00CD5684"/>
    <w:rsid w:val="00CE08E8"/>
    <w:rsid w:val="00CE4C4A"/>
    <w:rsid w:val="00CE7B4A"/>
    <w:rsid w:val="00CF3BCE"/>
    <w:rsid w:val="00CF630F"/>
    <w:rsid w:val="00D02373"/>
    <w:rsid w:val="00D11F16"/>
    <w:rsid w:val="00D14B29"/>
    <w:rsid w:val="00D1648A"/>
    <w:rsid w:val="00D226D7"/>
    <w:rsid w:val="00D247EF"/>
    <w:rsid w:val="00D32B64"/>
    <w:rsid w:val="00D3506D"/>
    <w:rsid w:val="00D36AA8"/>
    <w:rsid w:val="00D40447"/>
    <w:rsid w:val="00D406D6"/>
    <w:rsid w:val="00D4446B"/>
    <w:rsid w:val="00D461CA"/>
    <w:rsid w:val="00D47588"/>
    <w:rsid w:val="00D52367"/>
    <w:rsid w:val="00D5237B"/>
    <w:rsid w:val="00D5242F"/>
    <w:rsid w:val="00D54A8C"/>
    <w:rsid w:val="00D5592E"/>
    <w:rsid w:val="00D559AB"/>
    <w:rsid w:val="00D61742"/>
    <w:rsid w:val="00D71456"/>
    <w:rsid w:val="00D73294"/>
    <w:rsid w:val="00D7481B"/>
    <w:rsid w:val="00D74ED9"/>
    <w:rsid w:val="00D75D01"/>
    <w:rsid w:val="00D8327E"/>
    <w:rsid w:val="00D83CFD"/>
    <w:rsid w:val="00D90570"/>
    <w:rsid w:val="00D92572"/>
    <w:rsid w:val="00D931BD"/>
    <w:rsid w:val="00DA2802"/>
    <w:rsid w:val="00DA69AF"/>
    <w:rsid w:val="00DB1E5D"/>
    <w:rsid w:val="00DB31A8"/>
    <w:rsid w:val="00DB4B0D"/>
    <w:rsid w:val="00DC42CC"/>
    <w:rsid w:val="00DC5F34"/>
    <w:rsid w:val="00DD07E6"/>
    <w:rsid w:val="00DD0B56"/>
    <w:rsid w:val="00DD197D"/>
    <w:rsid w:val="00DD508D"/>
    <w:rsid w:val="00DE2E9E"/>
    <w:rsid w:val="00DF36FE"/>
    <w:rsid w:val="00DF601F"/>
    <w:rsid w:val="00DF65F7"/>
    <w:rsid w:val="00E05541"/>
    <w:rsid w:val="00E1060F"/>
    <w:rsid w:val="00E10646"/>
    <w:rsid w:val="00E1083F"/>
    <w:rsid w:val="00E121DE"/>
    <w:rsid w:val="00E138EB"/>
    <w:rsid w:val="00E13BF3"/>
    <w:rsid w:val="00E140C9"/>
    <w:rsid w:val="00E157AD"/>
    <w:rsid w:val="00E17191"/>
    <w:rsid w:val="00E230C0"/>
    <w:rsid w:val="00E2345D"/>
    <w:rsid w:val="00E314C1"/>
    <w:rsid w:val="00E44008"/>
    <w:rsid w:val="00E45572"/>
    <w:rsid w:val="00E467A6"/>
    <w:rsid w:val="00E46CAB"/>
    <w:rsid w:val="00E51D14"/>
    <w:rsid w:val="00E54CF3"/>
    <w:rsid w:val="00E569AE"/>
    <w:rsid w:val="00E71E9E"/>
    <w:rsid w:val="00E73B41"/>
    <w:rsid w:val="00E73C07"/>
    <w:rsid w:val="00E82F03"/>
    <w:rsid w:val="00E86CD2"/>
    <w:rsid w:val="00E87A0B"/>
    <w:rsid w:val="00E92D65"/>
    <w:rsid w:val="00EA5960"/>
    <w:rsid w:val="00EA6F32"/>
    <w:rsid w:val="00EB4FB3"/>
    <w:rsid w:val="00EB7D7F"/>
    <w:rsid w:val="00EC42BB"/>
    <w:rsid w:val="00EC74B8"/>
    <w:rsid w:val="00ED3BFA"/>
    <w:rsid w:val="00ED6074"/>
    <w:rsid w:val="00EE585D"/>
    <w:rsid w:val="00EF53A5"/>
    <w:rsid w:val="00F0041F"/>
    <w:rsid w:val="00F00C0F"/>
    <w:rsid w:val="00F00FE8"/>
    <w:rsid w:val="00F04A29"/>
    <w:rsid w:val="00F0687A"/>
    <w:rsid w:val="00F07123"/>
    <w:rsid w:val="00F12232"/>
    <w:rsid w:val="00F144A5"/>
    <w:rsid w:val="00F1519E"/>
    <w:rsid w:val="00F17E1C"/>
    <w:rsid w:val="00F207ED"/>
    <w:rsid w:val="00F217FB"/>
    <w:rsid w:val="00F337DC"/>
    <w:rsid w:val="00F3443B"/>
    <w:rsid w:val="00F36EED"/>
    <w:rsid w:val="00F373FE"/>
    <w:rsid w:val="00F44094"/>
    <w:rsid w:val="00F4451C"/>
    <w:rsid w:val="00F44584"/>
    <w:rsid w:val="00F5114E"/>
    <w:rsid w:val="00F565AE"/>
    <w:rsid w:val="00F61022"/>
    <w:rsid w:val="00F6797F"/>
    <w:rsid w:val="00F776FE"/>
    <w:rsid w:val="00F803C4"/>
    <w:rsid w:val="00F82469"/>
    <w:rsid w:val="00F87E36"/>
    <w:rsid w:val="00F91153"/>
    <w:rsid w:val="00F92490"/>
    <w:rsid w:val="00F96E3F"/>
    <w:rsid w:val="00FA2227"/>
    <w:rsid w:val="00FA4939"/>
    <w:rsid w:val="00FA5027"/>
    <w:rsid w:val="00FD5C6A"/>
    <w:rsid w:val="00FD7CB7"/>
    <w:rsid w:val="00FE4540"/>
    <w:rsid w:val="00FF1E98"/>
    <w:rsid w:val="00FF2BCE"/>
    <w:rsid w:val="00FF480B"/>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8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paragraph" w:styleId="Heading2">
    <w:name w:val="heading 2"/>
    <w:basedOn w:val="Normal"/>
    <w:next w:val="Normal"/>
    <w:link w:val="Heading2Char"/>
    <w:uiPriority w:val="9"/>
    <w:semiHidden/>
    <w:unhideWhenUsed/>
    <w:qFormat/>
    <w:rsid w:val="00DD50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0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F7"/>
    <w:rPr>
      <w:rFonts w:ascii="Segoe UI" w:eastAsia="Times New Roman" w:hAnsi="Segoe UI" w:cs="Segoe UI"/>
      <w:sz w:val="18"/>
      <w:szCs w:val="18"/>
    </w:rPr>
  </w:style>
  <w:style w:type="character" w:styleId="Hyperlink">
    <w:name w:val="Hyperlink"/>
    <w:basedOn w:val="DefaultParagraphFont"/>
    <w:uiPriority w:val="99"/>
    <w:unhideWhenUsed/>
    <w:rsid w:val="00533237"/>
    <w:rPr>
      <w:color w:val="0000FF" w:themeColor="hyperlink"/>
      <w:u w:val="single"/>
    </w:rPr>
  </w:style>
  <w:style w:type="character" w:customStyle="1" w:styleId="Heading2Char">
    <w:name w:val="Heading 2 Char"/>
    <w:basedOn w:val="DefaultParagraphFont"/>
    <w:link w:val="Heading2"/>
    <w:uiPriority w:val="9"/>
    <w:semiHidden/>
    <w:rsid w:val="00DD508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44094"/>
    <w:pPr>
      <w:tabs>
        <w:tab w:val="center" w:pos="4680"/>
        <w:tab w:val="right" w:pos="9360"/>
      </w:tabs>
    </w:pPr>
  </w:style>
  <w:style w:type="character" w:customStyle="1" w:styleId="HeaderChar">
    <w:name w:val="Header Char"/>
    <w:basedOn w:val="DefaultParagraphFont"/>
    <w:link w:val="Header"/>
    <w:uiPriority w:val="99"/>
    <w:rsid w:val="00F44094"/>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46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6899">
      <w:bodyDiv w:val="1"/>
      <w:marLeft w:val="0"/>
      <w:marRight w:val="0"/>
      <w:marTop w:val="0"/>
      <w:marBottom w:val="0"/>
      <w:divBdr>
        <w:top w:val="none" w:sz="0" w:space="0" w:color="auto"/>
        <w:left w:val="none" w:sz="0" w:space="0" w:color="auto"/>
        <w:bottom w:val="none" w:sz="0" w:space="0" w:color="auto"/>
        <w:right w:val="none" w:sz="0" w:space="0" w:color="auto"/>
      </w:divBdr>
    </w:div>
    <w:div w:id="1161235635">
      <w:bodyDiv w:val="1"/>
      <w:marLeft w:val="0"/>
      <w:marRight w:val="0"/>
      <w:marTop w:val="0"/>
      <w:marBottom w:val="0"/>
      <w:divBdr>
        <w:top w:val="none" w:sz="0" w:space="0" w:color="auto"/>
        <w:left w:val="none" w:sz="0" w:space="0" w:color="auto"/>
        <w:bottom w:val="none" w:sz="0" w:space="0" w:color="auto"/>
        <w:right w:val="none" w:sz="0" w:space="0" w:color="auto"/>
      </w:divBdr>
      <w:divsChild>
        <w:div w:id="671178584">
          <w:marLeft w:val="0"/>
          <w:marRight w:val="0"/>
          <w:marTop w:val="0"/>
          <w:marBottom w:val="0"/>
          <w:divBdr>
            <w:top w:val="none" w:sz="0" w:space="0" w:color="auto"/>
            <w:left w:val="none" w:sz="0" w:space="0" w:color="auto"/>
            <w:bottom w:val="none" w:sz="0" w:space="0" w:color="auto"/>
            <w:right w:val="none" w:sz="0" w:space="0" w:color="auto"/>
          </w:divBdr>
        </w:div>
        <w:div w:id="1478108527">
          <w:marLeft w:val="0"/>
          <w:marRight w:val="0"/>
          <w:marTop w:val="0"/>
          <w:marBottom w:val="0"/>
          <w:divBdr>
            <w:top w:val="none" w:sz="0" w:space="0" w:color="auto"/>
            <w:left w:val="none" w:sz="0" w:space="0" w:color="auto"/>
            <w:bottom w:val="none" w:sz="0" w:space="0" w:color="auto"/>
            <w:right w:val="none" w:sz="0" w:space="0" w:color="auto"/>
          </w:divBdr>
        </w:div>
        <w:div w:id="888806122">
          <w:marLeft w:val="0"/>
          <w:marRight w:val="0"/>
          <w:marTop w:val="0"/>
          <w:marBottom w:val="0"/>
          <w:divBdr>
            <w:top w:val="none" w:sz="0" w:space="0" w:color="auto"/>
            <w:left w:val="none" w:sz="0" w:space="0" w:color="auto"/>
            <w:bottom w:val="none" w:sz="0" w:space="0" w:color="auto"/>
            <w:right w:val="none" w:sz="0" w:space="0" w:color="auto"/>
          </w:divBdr>
        </w:div>
        <w:div w:id="593828724">
          <w:marLeft w:val="0"/>
          <w:marRight w:val="0"/>
          <w:marTop w:val="0"/>
          <w:marBottom w:val="0"/>
          <w:divBdr>
            <w:top w:val="none" w:sz="0" w:space="0" w:color="auto"/>
            <w:left w:val="none" w:sz="0" w:space="0" w:color="auto"/>
            <w:bottom w:val="none" w:sz="0" w:space="0" w:color="auto"/>
            <w:right w:val="none" w:sz="0" w:space="0" w:color="auto"/>
          </w:divBdr>
        </w:div>
        <w:div w:id="1301839661">
          <w:marLeft w:val="0"/>
          <w:marRight w:val="0"/>
          <w:marTop w:val="0"/>
          <w:marBottom w:val="0"/>
          <w:divBdr>
            <w:top w:val="none" w:sz="0" w:space="0" w:color="auto"/>
            <w:left w:val="none" w:sz="0" w:space="0" w:color="auto"/>
            <w:bottom w:val="none" w:sz="0" w:space="0" w:color="auto"/>
            <w:right w:val="none" w:sz="0" w:space="0" w:color="auto"/>
          </w:divBdr>
        </w:div>
        <w:div w:id="576742307">
          <w:marLeft w:val="0"/>
          <w:marRight w:val="0"/>
          <w:marTop w:val="0"/>
          <w:marBottom w:val="0"/>
          <w:divBdr>
            <w:top w:val="none" w:sz="0" w:space="0" w:color="auto"/>
            <w:left w:val="none" w:sz="0" w:space="0" w:color="auto"/>
            <w:bottom w:val="none" w:sz="0" w:space="0" w:color="auto"/>
            <w:right w:val="none" w:sz="0" w:space="0" w:color="auto"/>
          </w:divBdr>
        </w:div>
        <w:div w:id="202913330">
          <w:marLeft w:val="0"/>
          <w:marRight w:val="0"/>
          <w:marTop w:val="0"/>
          <w:marBottom w:val="0"/>
          <w:divBdr>
            <w:top w:val="none" w:sz="0" w:space="0" w:color="auto"/>
            <w:left w:val="none" w:sz="0" w:space="0" w:color="auto"/>
            <w:bottom w:val="none" w:sz="0" w:space="0" w:color="auto"/>
            <w:right w:val="none" w:sz="0" w:space="0" w:color="auto"/>
          </w:divBdr>
        </w:div>
        <w:div w:id="823661775">
          <w:marLeft w:val="0"/>
          <w:marRight w:val="0"/>
          <w:marTop w:val="0"/>
          <w:marBottom w:val="0"/>
          <w:divBdr>
            <w:top w:val="none" w:sz="0" w:space="0" w:color="auto"/>
            <w:left w:val="none" w:sz="0" w:space="0" w:color="auto"/>
            <w:bottom w:val="none" w:sz="0" w:space="0" w:color="auto"/>
            <w:right w:val="none" w:sz="0" w:space="0" w:color="auto"/>
          </w:divBdr>
        </w:div>
        <w:div w:id="1180579396">
          <w:marLeft w:val="0"/>
          <w:marRight w:val="0"/>
          <w:marTop w:val="0"/>
          <w:marBottom w:val="0"/>
          <w:divBdr>
            <w:top w:val="none" w:sz="0" w:space="0" w:color="auto"/>
            <w:left w:val="none" w:sz="0" w:space="0" w:color="auto"/>
            <w:bottom w:val="none" w:sz="0" w:space="0" w:color="auto"/>
            <w:right w:val="none" w:sz="0" w:space="0" w:color="auto"/>
          </w:divBdr>
        </w:div>
        <w:div w:id="177163802">
          <w:marLeft w:val="0"/>
          <w:marRight w:val="0"/>
          <w:marTop w:val="0"/>
          <w:marBottom w:val="0"/>
          <w:divBdr>
            <w:top w:val="none" w:sz="0" w:space="0" w:color="auto"/>
            <w:left w:val="none" w:sz="0" w:space="0" w:color="auto"/>
            <w:bottom w:val="none" w:sz="0" w:space="0" w:color="auto"/>
            <w:right w:val="none" w:sz="0" w:space="0" w:color="auto"/>
          </w:divBdr>
          <w:divsChild>
            <w:div w:id="1815561464">
              <w:marLeft w:val="0"/>
              <w:marRight w:val="0"/>
              <w:marTop w:val="0"/>
              <w:marBottom w:val="0"/>
              <w:divBdr>
                <w:top w:val="none" w:sz="0" w:space="0" w:color="auto"/>
                <w:left w:val="none" w:sz="0" w:space="0" w:color="auto"/>
                <w:bottom w:val="none" w:sz="0" w:space="0" w:color="auto"/>
                <w:right w:val="none" w:sz="0" w:space="0" w:color="auto"/>
              </w:divBdr>
            </w:div>
          </w:divsChild>
        </w:div>
        <w:div w:id="1802769861">
          <w:marLeft w:val="0"/>
          <w:marRight w:val="0"/>
          <w:marTop w:val="0"/>
          <w:marBottom w:val="0"/>
          <w:divBdr>
            <w:top w:val="none" w:sz="0" w:space="0" w:color="auto"/>
            <w:left w:val="none" w:sz="0" w:space="0" w:color="auto"/>
            <w:bottom w:val="none" w:sz="0" w:space="0" w:color="auto"/>
            <w:right w:val="none" w:sz="0" w:space="0" w:color="auto"/>
          </w:divBdr>
        </w:div>
        <w:div w:id="976957585">
          <w:marLeft w:val="0"/>
          <w:marRight w:val="0"/>
          <w:marTop w:val="0"/>
          <w:marBottom w:val="0"/>
          <w:divBdr>
            <w:top w:val="none" w:sz="0" w:space="0" w:color="auto"/>
            <w:left w:val="none" w:sz="0" w:space="0" w:color="auto"/>
            <w:bottom w:val="none" w:sz="0" w:space="0" w:color="auto"/>
            <w:right w:val="none" w:sz="0" w:space="0" w:color="auto"/>
          </w:divBdr>
        </w:div>
      </w:divsChild>
    </w:div>
    <w:div w:id="1196121226">
      <w:bodyDiv w:val="1"/>
      <w:marLeft w:val="0"/>
      <w:marRight w:val="0"/>
      <w:marTop w:val="0"/>
      <w:marBottom w:val="0"/>
      <w:divBdr>
        <w:top w:val="none" w:sz="0" w:space="0" w:color="auto"/>
        <w:left w:val="none" w:sz="0" w:space="0" w:color="auto"/>
        <w:bottom w:val="none" w:sz="0" w:space="0" w:color="auto"/>
        <w:right w:val="none" w:sz="0" w:space="0" w:color="auto"/>
      </w:divBdr>
      <w:divsChild>
        <w:div w:id="848372307">
          <w:marLeft w:val="0"/>
          <w:marRight w:val="0"/>
          <w:marTop w:val="0"/>
          <w:marBottom w:val="0"/>
          <w:divBdr>
            <w:top w:val="none" w:sz="0" w:space="0" w:color="auto"/>
            <w:left w:val="none" w:sz="0" w:space="0" w:color="auto"/>
            <w:bottom w:val="none" w:sz="0" w:space="0" w:color="auto"/>
            <w:right w:val="none" w:sz="0" w:space="0" w:color="auto"/>
          </w:divBdr>
        </w:div>
        <w:div w:id="1311715629">
          <w:marLeft w:val="0"/>
          <w:marRight w:val="0"/>
          <w:marTop w:val="0"/>
          <w:marBottom w:val="0"/>
          <w:divBdr>
            <w:top w:val="none" w:sz="0" w:space="0" w:color="auto"/>
            <w:left w:val="none" w:sz="0" w:space="0" w:color="auto"/>
            <w:bottom w:val="none" w:sz="0" w:space="0" w:color="auto"/>
            <w:right w:val="none" w:sz="0" w:space="0" w:color="auto"/>
          </w:divBdr>
        </w:div>
        <w:div w:id="333068775">
          <w:marLeft w:val="0"/>
          <w:marRight w:val="0"/>
          <w:marTop w:val="0"/>
          <w:marBottom w:val="0"/>
          <w:divBdr>
            <w:top w:val="none" w:sz="0" w:space="0" w:color="auto"/>
            <w:left w:val="none" w:sz="0" w:space="0" w:color="auto"/>
            <w:bottom w:val="none" w:sz="0" w:space="0" w:color="auto"/>
            <w:right w:val="none" w:sz="0" w:space="0" w:color="auto"/>
          </w:divBdr>
        </w:div>
        <w:div w:id="1728602674">
          <w:marLeft w:val="0"/>
          <w:marRight w:val="0"/>
          <w:marTop w:val="0"/>
          <w:marBottom w:val="0"/>
          <w:divBdr>
            <w:top w:val="none" w:sz="0" w:space="0" w:color="auto"/>
            <w:left w:val="none" w:sz="0" w:space="0" w:color="auto"/>
            <w:bottom w:val="none" w:sz="0" w:space="0" w:color="auto"/>
            <w:right w:val="none" w:sz="0" w:space="0" w:color="auto"/>
          </w:divBdr>
        </w:div>
        <w:div w:id="1261528252">
          <w:marLeft w:val="0"/>
          <w:marRight w:val="0"/>
          <w:marTop w:val="0"/>
          <w:marBottom w:val="0"/>
          <w:divBdr>
            <w:top w:val="none" w:sz="0" w:space="0" w:color="auto"/>
            <w:left w:val="none" w:sz="0" w:space="0" w:color="auto"/>
            <w:bottom w:val="none" w:sz="0" w:space="0" w:color="auto"/>
            <w:right w:val="none" w:sz="0" w:space="0" w:color="auto"/>
          </w:divBdr>
        </w:div>
        <w:div w:id="725418741">
          <w:marLeft w:val="0"/>
          <w:marRight w:val="0"/>
          <w:marTop w:val="0"/>
          <w:marBottom w:val="0"/>
          <w:divBdr>
            <w:top w:val="none" w:sz="0" w:space="0" w:color="auto"/>
            <w:left w:val="none" w:sz="0" w:space="0" w:color="auto"/>
            <w:bottom w:val="none" w:sz="0" w:space="0" w:color="auto"/>
            <w:right w:val="none" w:sz="0" w:space="0" w:color="auto"/>
          </w:divBdr>
        </w:div>
        <w:div w:id="2099133289">
          <w:marLeft w:val="0"/>
          <w:marRight w:val="0"/>
          <w:marTop w:val="0"/>
          <w:marBottom w:val="0"/>
          <w:divBdr>
            <w:top w:val="none" w:sz="0" w:space="0" w:color="auto"/>
            <w:left w:val="none" w:sz="0" w:space="0" w:color="auto"/>
            <w:bottom w:val="none" w:sz="0" w:space="0" w:color="auto"/>
            <w:right w:val="none" w:sz="0" w:space="0" w:color="auto"/>
          </w:divBdr>
        </w:div>
      </w:divsChild>
    </w:div>
    <w:div w:id="1215048328">
      <w:bodyDiv w:val="1"/>
      <w:marLeft w:val="0"/>
      <w:marRight w:val="0"/>
      <w:marTop w:val="0"/>
      <w:marBottom w:val="0"/>
      <w:divBdr>
        <w:top w:val="none" w:sz="0" w:space="0" w:color="auto"/>
        <w:left w:val="none" w:sz="0" w:space="0" w:color="auto"/>
        <w:bottom w:val="none" w:sz="0" w:space="0" w:color="auto"/>
        <w:right w:val="none" w:sz="0" w:space="0" w:color="auto"/>
      </w:divBdr>
      <w:divsChild>
        <w:div w:id="568347702">
          <w:marLeft w:val="0"/>
          <w:marRight w:val="0"/>
          <w:marTop w:val="0"/>
          <w:marBottom w:val="0"/>
          <w:divBdr>
            <w:top w:val="none" w:sz="0" w:space="0" w:color="auto"/>
            <w:left w:val="none" w:sz="0" w:space="0" w:color="auto"/>
            <w:bottom w:val="none" w:sz="0" w:space="0" w:color="auto"/>
            <w:right w:val="none" w:sz="0" w:space="0" w:color="auto"/>
          </w:divBdr>
        </w:div>
        <w:div w:id="1273518034">
          <w:marLeft w:val="0"/>
          <w:marRight w:val="0"/>
          <w:marTop w:val="0"/>
          <w:marBottom w:val="0"/>
          <w:divBdr>
            <w:top w:val="none" w:sz="0" w:space="0" w:color="auto"/>
            <w:left w:val="none" w:sz="0" w:space="0" w:color="auto"/>
            <w:bottom w:val="none" w:sz="0" w:space="0" w:color="auto"/>
            <w:right w:val="none" w:sz="0" w:space="0" w:color="auto"/>
          </w:divBdr>
        </w:div>
      </w:divsChild>
    </w:div>
    <w:div w:id="1396470456">
      <w:bodyDiv w:val="1"/>
      <w:marLeft w:val="0"/>
      <w:marRight w:val="0"/>
      <w:marTop w:val="0"/>
      <w:marBottom w:val="0"/>
      <w:divBdr>
        <w:top w:val="none" w:sz="0" w:space="0" w:color="auto"/>
        <w:left w:val="none" w:sz="0" w:space="0" w:color="auto"/>
        <w:bottom w:val="none" w:sz="0" w:space="0" w:color="auto"/>
        <w:right w:val="none" w:sz="0" w:space="0" w:color="auto"/>
      </w:divBdr>
    </w:div>
    <w:div w:id="1783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facultyaffairs/documents/apm/1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snostate.edu/mapp/documents/apm/32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snostate.edu/academics/scheduling/documents/CourseClassificationSystem%201.3.18.pdf" TargetMode="External"/><Relationship Id="rId5" Type="http://schemas.openxmlformats.org/officeDocument/2006/relationships/footnotes" Target="footnotes.xml"/><Relationship Id="rId10" Type="http://schemas.openxmlformats.org/officeDocument/2006/relationships/hyperlink" Target="http://www.fresnostate.edu/academics/facultyaffairs/documents/apm/241.pdf" TargetMode="External"/><Relationship Id="rId4" Type="http://schemas.openxmlformats.org/officeDocument/2006/relationships/webSettings" Target="webSettings.xml"/><Relationship Id="rId9" Type="http://schemas.openxmlformats.org/officeDocument/2006/relationships/hyperlink" Target="https://calstate.policystat.com/policy/8453516/la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2020-09-10T19:26:00Z</dcterms:created>
  <dcterms:modified xsi:type="dcterms:W3CDTF">2020-09-10T19:26:00Z</dcterms:modified>
</cp:coreProperties>
</file>