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20D4958" w:rsidR="0082629F" w:rsidRPr="00264A06" w:rsidRDefault="00E970B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29FD02DB" w:rsidR="0082629F" w:rsidRDefault="00914A8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December 1</w:t>
      </w:r>
      <w:r w:rsidR="0082629F"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6B0B5168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BC0799">
        <w:rPr>
          <w:szCs w:val="24"/>
        </w:rPr>
        <w:t xml:space="preserve">Alexandrou, Hopson-Walker, Low, Nguyen, </w:t>
      </w:r>
      <w:proofErr w:type="spellStart"/>
      <w:r w:rsidR="00BC0799">
        <w:rPr>
          <w:szCs w:val="24"/>
        </w:rPr>
        <w:t>Sahatjian</w:t>
      </w:r>
      <w:proofErr w:type="spellEnd"/>
      <w:r w:rsidR="00E970B6">
        <w:rPr>
          <w:szCs w:val="24"/>
        </w:rPr>
        <w:t>, Schmidtke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50C6954E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E970B6">
        <w:rPr>
          <w:szCs w:val="24"/>
        </w:rPr>
        <w:t xml:space="preserve">Alvarez, </w:t>
      </w:r>
      <w:r w:rsidR="00BC0799">
        <w:rPr>
          <w:szCs w:val="24"/>
        </w:rPr>
        <w:t>Rivera, Vitali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58DF6351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D Low </w:t>
      </w:r>
      <w:r w:rsidRPr="00E21D93">
        <w:rPr>
          <w:b/>
          <w:bCs/>
        </w:rPr>
        <w:t>at</w:t>
      </w:r>
      <w:r w:rsidR="002763CC">
        <w:rPr>
          <w:b/>
          <w:bCs/>
        </w:rPr>
        <w:t xml:space="preserve"> 9:05.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1331762E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</w:t>
      </w:r>
      <w:r w:rsidR="00E21D93">
        <w:rPr>
          <w:color w:val="000000"/>
          <w:szCs w:val="24"/>
        </w:rPr>
        <w:t>1</w:t>
      </w:r>
      <w:r w:rsidR="00B85639">
        <w:rPr>
          <w:color w:val="000000"/>
          <w:szCs w:val="24"/>
        </w:rPr>
        <w:t>/</w:t>
      </w:r>
      <w:r w:rsidR="0096215C">
        <w:rPr>
          <w:color w:val="000000"/>
          <w:szCs w:val="24"/>
        </w:rPr>
        <w:t>1</w:t>
      </w:r>
      <w:r w:rsidR="00914A8F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/22. </w:t>
      </w:r>
    </w:p>
    <w:p w14:paraId="2A4D7D87" w14:textId="60B81587" w:rsidR="0082629F" w:rsidRDefault="002763CC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Nguyen moves, Alexandrou seconds, motion passes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1A220CBA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</w:t>
      </w:r>
      <w:r w:rsidR="00914A8F">
        <w:rPr>
          <w:color w:val="000000"/>
          <w:szCs w:val="24"/>
        </w:rPr>
        <w:t>2</w:t>
      </w:r>
      <w:r>
        <w:rPr>
          <w:color w:val="000000"/>
          <w:szCs w:val="24"/>
        </w:rPr>
        <w:t>/</w:t>
      </w:r>
      <w:r w:rsidR="00E21D93">
        <w:rPr>
          <w:color w:val="000000"/>
          <w:szCs w:val="24"/>
        </w:rPr>
        <w:t>1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10A7FF98" w:rsidR="0082629F" w:rsidRPr="00795DFB" w:rsidRDefault="002763CC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Alexandrou moves, Hopson-Walker seconds, motion passes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4426F340" w14:textId="637A9A02" w:rsidR="0096215C" w:rsidRDefault="0096215C" w:rsidP="0096215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Personnel currently has</w:t>
      </w:r>
      <w:r w:rsidRPr="00C67C56">
        <w:rPr>
          <w:color w:val="000000"/>
          <w:szCs w:val="24"/>
        </w:rPr>
        <w:t xml:space="preserve"> </w:t>
      </w:r>
      <w:r w:rsidR="00A77BD1">
        <w:rPr>
          <w:color w:val="000000"/>
          <w:szCs w:val="24"/>
        </w:rPr>
        <w:t>four</w:t>
      </w:r>
      <w:r w:rsidRPr="00C67C56">
        <w:rPr>
          <w:color w:val="000000"/>
          <w:szCs w:val="24"/>
        </w:rPr>
        <w:t xml:space="preserve"> amendments on the Senate’s docket (APM 330, 125, 322</w:t>
      </w:r>
      <w:r w:rsidR="00A77BD1">
        <w:rPr>
          <w:color w:val="000000"/>
          <w:szCs w:val="24"/>
        </w:rPr>
        <w:t>, and 301</w:t>
      </w:r>
      <w:r w:rsidRPr="00C67C56">
        <w:rPr>
          <w:color w:val="000000"/>
          <w:szCs w:val="24"/>
        </w:rPr>
        <w:t xml:space="preserve">) and </w:t>
      </w:r>
      <w:r w:rsidR="00A77BD1">
        <w:rPr>
          <w:color w:val="000000"/>
          <w:szCs w:val="24"/>
        </w:rPr>
        <w:t>one</w:t>
      </w:r>
      <w:r w:rsidRPr="00C67C56">
        <w:rPr>
          <w:color w:val="000000"/>
          <w:szCs w:val="24"/>
        </w:rPr>
        <w:t xml:space="preserve"> in Executive Committee (APM 327). </w:t>
      </w:r>
    </w:p>
    <w:p w14:paraId="711922BE" w14:textId="184C3A1F" w:rsidR="00914A8F" w:rsidRDefault="00914A8F" w:rsidP="00E748EB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Notes from </w:t>
      </w:r>
      <w:r w:rsidRPr="005D580E">
        <w:rPr>
          <w:b/>
          <w:bCs/>
          <w:color w:val="000000"/>
          <w:szCs w:val="24"/>
        </w:rPr>
        <w:t>Academic Senate on 11/21/22:</w:t>
      </w:r>
    </w:p>
    <w:p w14:paraId="32B4465C" w14:textId="47961388" w:rsidR="00975161" w:rsidRPr="004809A1" w:rsidRDefault="00F92C00" w:rsidP="00300385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4809A1">
        <w:rPr>
          <w:color w:val="000000"/>
          <w:szCs w:val="24"/>
        </w:rPr>
        <w:t>Senate</w:t>
      </w:r>
      <w:r w:rsidR="00AE7444" w:rsidRPr="004809A1">
        <w:rPr>
          <w:color w:val="000000"/>
          <w:szCs w:val="24"/>
        </w:rPr>
        <w:t xml:space="preserve"> vote</w:t>
      </w:r>
      <w:r w:rsidRPr="004809A1">
        <w:rPr>
          <w:color w:val="000000"/>
          <w:szCs w:val="24"/>
        </w:rPr>
        <w:t>s</w:t>
      </w:r>
      <w:r w:rsidR="00AE7444" w:rsidRPr="004809A1">
        <w:rPr>
          <w:color w:val="000000"/>
          <w:szCs w:val="24"/>
        </w:rPr>
        <w:t xml:space="preserve"> to send </w:t>
      </w:r>
      <w:r w:rsidRPr="004809A1">
        <w:rPr>
          <w:color w:val="000000"/>
          <w:szCs w:val="24"/>
        </w:rPr>
        <w:t xml:space="preserve">APM </w:t>
      </w:r>
      <w:r w:rsidR="00AE7444" w:rsidRPr="004809A1">
        <w:rPr>
          <w:color w:val="000000"/>
          <w:szCs w:val="24"/>
        </w:rPr>
        <w:t xml:space="preserve">399 to </w:t>
      </w:r>
      <w:r w:rsidRPr="004809A1">
        <w:rPr>
          <w:color w:val="000000"/>
          <w:szCs w:val="24"/>
        </w:rPr>
        <w:t>Personnel C</w:t>
      </w:r>
      <w:r w:rsidR="00AE7444" w:rsidRPr="004809A1">
        <w:rPr>
          <w:color w:val="000000"/>
          <w:szCs w:val="24"/>
        </w:rPr>
        <w:t xml:space="preserve">ommittee to </w:t>
      </w:r>
      <w:r w:rsidRPr="004809A1">
        <w:rPr>
          <w:color w:val="000000"/>
          <w:szCs w:val="24"/>
        </w:rPr>
        <w:t xml:space="preserve">consider </w:t>
      </w:r>
      <w:r w:rsidR="00AE7444" w:rsidRPr="004809A1">
        <w:rPr>
          <w:color w:val="000000"/>
          <w:szCs w:val="24"/>
        </w:rPr>
        <w:t>adding a proviso on revoking emeritus status.</w:t>
      </w:r>
      <w:r w:rsidRPr="004809A1">
        <w:rPr>
          <w:color w:val="000000"/>
          <w:szCs w:val="24"/>
        </w:rPr>
        <w:t xml:space="preserve"> It has been added to the docket. </w:t>
      </w:r>
    </w:p>
    <w:p w14:paraId="0CE75262" w14:textId="72AD9F20" w:rsidR="00F92C00" w:rsidRPr="005C1AC3" w:rsidRDefault="00F92C00" w:rsidP="00975161">
      <w:pPr>
        <w:pStyle w:val="ListParagraph"/>
        <w:numPr>
          <w:ilvl w:val="2"/>
          <w:numId w:val="1"/>
        </w:numPr>
        <w:shd w:val="clear" w:color="auto" w:fill="FFFFFF" w:themeFill="background1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Senate begins first reading of </w:t>
      </w:r>
      <w:r w:rsidR="004114A4">
        <w:rPr>
          <w:color w:val="000000"/>
          <w:szCs w:val="24"/>
        </w:rPr>
        <w:t xml:space="preserve">Personnel’s revisions to </w:t>
      </w:r>
      <w:r>
        <w:rPr>
          <w:color w:val="000000"/>
          <w:szCs w:val="24"/>
        </w:rPr>
        <w:t>APM 330 (Policy on Market-Based Salary Increases). There’s a friendly amendment to require the President or Pres</w:t>
      </w:r>
      <w:r w:rsidR="007F2AAE">
        <w:rPr>
          <w:color w:val="000000"/>
          <w:szCs w:val="24"/>
        </w:rPr>
        <w:t>ident’s</w:t>
      </w:r>
      <w:r>
        <w:rPr>
          <w:color w:val="000000"/>
          <w:szCs w:val="24"/>
        </w:rPr>
        <w:t xml:space="preserve"> Designee to communicate a timeframe for each step in the MBSI review process. The Senate votes in favor of the friendly amendment. Time expires and the first reading </w:t>
      </w:r>
      <w:r w:rsidR="007F2AAE">
        <w:rPr>
          <w:color w:val="000000"/>
          <w:szCs w:val="24"/>
        </w:rPr>
        <w:t xml:space="preserve">of APM 330 </w:t>
      </w:r>
      <w:r>
        <w:rPr>
          <w:color w:val="000000"/>
          <w:szCs w:val="24"/>
        </w:rPr>
        <w:t>will continue at the next Senate meeting.</w:t>
      </w:r>
    </w:p>
    <w:p w14:paraId="6020E3CB" w14:textId="72EE1EAB" w:rsidR="00086F3D" w:rsidRPr="004809A1" w:rsidRDefault="004809A1" w:rsidP="00851108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4809A1">
        <w:rPr>
          <w:color w:val="000000"/>
          <w:szCs w:val="24"/>
        </w:rPr>
        <w:t xml:space="preserve"> </w:t>
      </w:r>
      <w:r w:rsidR="00086F3D" w:rsidRPr="004809A1">
        <w:rPr>
          <w:color w:val="000000"/>
          <w:szCs w:val="24"/>
        </w:rPr>
        <w:t xml:space="preserve">Notes from </w:t>
      </w:r>
      <w:r w:rsidR="0096215C" w:rsidRPr="004809A1">
        <w:rPr>
          <w:b/>
          <w:bCs/>
          <w:color w:val="000000"/>
          <w:szCs w:val="24"/>
        </w:rPr>
        <w:t>Executive Committee</w:t>
      </w:r>
      <w:r w:rsidR="00E21D93" w:rsidRPr="004809A1">
        <w:rPr>
          <w:b/>
          <w:bCs/>
          <w:color w:val="000000"/>
          <w:szCs w:val="24"/>
        </w:rPr>
        <w:t xml:space="preserve"> on 11/</w:t>
      </w:r>
      <w:r w:rsidR="00914A8F" w:rsidRPr="004809A1">
        <w:rPr>
          <w:b/>
          <w:bCs/>
          <w:color w:val="000000"/>
          <w:szCs w:val="24"/>
        </w:rPr>
        <w:t>28</w:t>
      </w:r>
      <w:r w:rsidR="00E21D93" w:rsidRPr="004809A1">
        <w:rPr>
          <w:b/>
          <w:bCs/>
          <w:color w:val="000000"/>
          <w:szCs w:val="24"/>
        </w:rPr>
        <w:t>/22</w:t>
      </w:r>
      <w:r w:rsidR="00E21D93" w:rsidRPr="004809A1">
        <w:rPr>
          <w:color w:val="000000"/>
          <w:szCs w:val="24"/>
        </w:rPr>
        <w:t>:</w:t>
      </w:r>
    </w:p>
    <w:p w14:paraId="2475A587" w14:textId="65766245" w:rsidR="00673C94" w:rsidRDefault="00673C94" w:rsidP="00673C94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673C94">
        <w:rPr>
          <w:color w:val="000000"/>
          <w:szCs w:val="24"/>
        </w:rPr>
        <w:t>1</w:t>
      </w:r>
      <w:r w:rsidRPr="00673C94">
        <w:rPr>
          <w:color w:val="000000"/>
          <w:szCs w:val="24"/>
          <w:vertAlign w:val="superscript"/>
        </w:rPr>
        <w:t>st</w:t>
      </w:r>
      <w:r w:rsidRPr="00673C94">
        <w:rPr>
          <w:color w:val="000000"/>
          <w:szCs w:val="24"/>
        </w:rPr>
        <w:t xml:space="preserve"> reading of APM 327 (Policy on Promotion). The Exec Committee had some questions an</w:t>
      </w:r>
      <w:r w:rsidR="004809A1">
        <w:rPr>
          <w:color w:val="000000"/>
          <w:szCs w:val="24"/>
        </w:rPr>
        <w:t>d recommendations.</w:t>
      </w:r>
    </w:p>
    <w:p w14:paraId="1A02E84D" w14:textId="66D37B85" w:rsidR="002763CC" w:rsidRPr="004809A1" w:rsidRDefault="004809A1" w:rsidP="004809A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Alexandrou will serve as interim chair of Personnel Committee for Spring 2023.</w:t>
      </w:r>
    </w:p>
    <w:p w14:paraId="24102D1B" w14:textId="77777777" w:rsidR="003A51DD" w:rsidRPr="003A51DD" w:rsidRDefault="003A51DD" w:rsidP="003A51DD">
      <w:pPr>
        <w:pStyle w:val="ListParagraph"/>
        <w:ind w:left="1260"/>
        <w:rPr>
          <w:szCs w:val="24"/>
        </w:rPr>
      </w:pPr>
    </w:p>
    <w:p w14:paraId="16FC03EB" w14:textId="6474A7D4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6A5757F0" w14:textId="77777777" w:rsidR="007F2AAE" w:rsidRDefault="007F2AAE" w:rsidP="007F2AAE">
      <w:pPr>
        <w:pStyle w:val="ListParagraph"/>
        <w:rPr>
          <w:szCs w:val="24"/>
        </w:rPr>
      </w:pPr>
    </w:p>
    <w:p w14:paraId="0A9A015A" w14:textId="7FFCBD88" w:rsidR="001918B0" w:rsidRPr="001918B0" w:rsidRDefault="001918B0" w:rsidP="001918B0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APM 32</w:t>
      </w:r>
      <w:r w:rsidR="006E2717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1918B0">
        <w:rPr>
          <w:color w:val="000000"/>
          <w:szCs w:val="24"/>
        </w:rPr>
        <w:t>(Periodic Evaluation of Tenured Faculty)</w:t>
      </w:r>
    </w:p>
    <w:p w14:paraId="79343203" w14:textId="5F185821" w:rsidR="00AB51E6" w:rsidRPr="00AB51E6" w:rsidRDefault="00AB51E6" w:rsidP="00F92C0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323 (</w:t>
      </w:r>
      <w:r w:rsidRPr="00AB51E6">
        <w:rPr>
          <w:szCs w:val="24"/>
        </w:rPr>
        <w:t>Personnel Files)</w:t>
      </w:r>
    </w:p>
    <w:p w14:paraId="01A7DB7E" w14:textId="79C65B71" w:rsidR="00F92C00" w:rsidRPr="004809A1" w:rsidRDefault="00F92C00" w:rsidP="004809A1">
      <w:pPr>
        <w:pStyle w:val="ListParagraph"/>
        <w:numPr>
          <w:ilvl w:val="1"/>
          <w:numId w:val="1"/>
        </w:numPr>
        <w:shd w:val="clear" w:color="auto" w:fill="FFFFFF"/>
        <w:rPr>
          <w:szCs w:val="24"/>
        </w:rPr>
      </w:pPr>
      <w:r w:rsidRPr="004809A1">
        <w:rPr>
          <w:szCs w:val="24"/>
        </w:rPr>
        <w:t xml:space="preserve">APM 399 (Policy on </w:t>
      </w:r>
      <w:proofErr w:type="spellStart"/>
      <w:r w:rsidRPr="004809A1">
        <w:rPr>
          <w:szCs w:val="24"/>
        </w:rPr>
        <w:t>Emerit</w:t>
      </w:r>
      <w:proofErr w:type="spellEnd"/>
      <w:r w:rsidRPr="004809A1">
        <w:rPr>
          <w:szCs w:val="24"/>
        </w:rPr>
        <w:t xml:space="preserve"> Status)</w:t>
      </w:r>
    </w:p>
    <w:p w14:paraId="4D2B59D2" w14:textId="2DF98967" w:rsidR="008370A4" w:rsidRPr="003A51DD" w:rsidRDefault="008370A4" w:rsidP="00C276F8">
      <w:pPr>
        <w:pStyle w:val="ListParagraph"/>
        <w:ind w:left="1260"/>
        <w:rPr>
          <w:rFonts w:ascii="Arial" w:hAnsi="Arial" w:cs="Arial"/>
          <w:color w:val="222222"/>
          <w:szCs w:val="24"/>
        </w:rPr>
      </w:pPr>
    </w:p>
    <w:p w14:paraId="09D6A6C9" w14:textId="59411B97" w:rsidR="00570C61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2312E93C" w14:textId="77777777" w:rsidR="00F92C00" w:rsidRDefault="00F92C00" w:rsidP="00F92C00">
      <w:pPr>
        <w:pStyle w:val="ListParagraph"/>
        <w:ind w:left="1260"/>
        <w:rPr>
          <w:szCs w:val="24"/>
        </w:rPr>
      </w:pPr>
    </w:p>
    <w:p w14:paraId="0E585B8A" w14:textId="2341CD54" w:rsidR="0063161F" w:rsidRPr="004809A1" w:rsidRDefault="00673C94" w:rsidP="004809A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327 (Policy on Promotion)</w:t>
      </w:r>
    </w:p>
    <w:p w14:paraId="4CB014A3" w14:textId="09A7A7D7" w:rsidR="00E970B6" w:rsidRDefault="00E970B6" w:rsidP="00E970B6">
      <w:pPr>
        <w:rPr>
          <w:szCs w:val="24"/>
        </w:rPr>
      </w:pPr>
    </w:p>
    <w:p w14:paraId="398518F0" w14:textId="7DB34FE2" w:rsidR="00315991" w:rsidRPr="004809A1" w:rsidRDefault="00E970B6" w:rsidP="004809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10:20. Motion carries.</w:t>
      </w:r>
    </w:p>
    <w:sectPr w:rsidR="00315991" w:rsidRPr="0048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1D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0E7E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09A1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F61"/>
    <w:rsid w:val="005206F5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AE2"/>
    <w:rsid w:val="00831FB6"/>
    <w:rsid w:val="00832A59"/>
    <w:rsid w:val="00833989"/>
    <w:rsid w:val="008370A4"/>
    <w:rsid w:val="008402BE"/>
    <w:rsid w:val="008404E8"/>
    <w:rsid w:val="00841CE1"/>
    <w:rsid w:val="00841FBA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142E"/>
    <w:rsid w:val="00A721A8"/>
    <w:rsid w:val="00A7310C"/>
    <w:rsid w:val="00A73BC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2023-02-24T22:34:00Z</dcterms:created>
  <dcterms:modified xsi:type="dcterms:W3CDTF">2023-02-24T22:34:00Z</dcterms:modified>
</cp:coreProperties>
</file>