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ookman Old Style" w:cs="Bookman Old Style" w:hAnsi="Bookman Old Style" w:eastAsia="Bookman Old Style"/>
        </w:rPr>
      </w:pPr>
      <w:r>
        <w:rPr>
          <w:rFonts w:ascii="Bookman Old Style" w:hAnsi="Bookman Old Style"/>
          <w:rtl w:val="0"/>
          <w:lang w:val="en-US"/>
        </w:rPr>
        <w:t>THE MINUTES OF THE ACADEMIC SENATE</w:t>
      </w:r>
    </w:p>
    <w:p>
      <w:pPr>
        <w:pStyle w:val="Body"/>
        <w:rPr>
          <w:rFonts w:ascii="Bookman Old Style" w:cs="Bookman Old Style" w:hAnsi="Bookman Old Style" w:eastAsia="Bookman Old Style"/>
        </w:rPr>
      </w:pPr>
      <w:r>
        <w:rPr>
          <w:rFonts w:ascii="Bookman Old Style" w:hAnsi="Bookman Old Style"/>
          <w:rtl w:val="0"/>
          <w:lang w:val="de-DE"/>
        </w:rPr>
        <w:t xml:space="preserve">CALIFORNIA STATE UNIVERSITY, FRESNO   </w:t>
      </w:r>
    </w:p>
    <w:p>
      <w:pPr>
        <w:pStyle w:val="Body"/>
        <w:rPr>
          <w:rFonts w:ascii="Bookman Old Style" w:cs="Bookman Old Style" w:hAnsi="Bookman Old Style" w:eastAsia="Bookman Old Style"/>
        </w:rPr>
      </w:pPr>
      <w:r>
        <w:rPr>
          <w:rFonts w:ascii="Bookman Old Style" w:hAnsi="Bookman Old Style"/>
          <w:rtl w:val="0"/>
          <w:lang w:val="en-US"/>
        </w:rPr>
        <w:t>5200 N. Barton Ave ML 34</w:t>
      </w:r>
    </w:p>
    <w:p>
      <w:pPr>
        <w:pStyle w:val="Body"/>
        <w:rPr>
          <w:rFonts w:ascii="Bookman Old Style" w:cs="Bookman Old Style" w:hAnsi="Bookman Old Style" w:eastAsia="Bookman Old Style"/>
        </w:rPr>
      </w:pPr>
      <w:r>
        <w:rPr>
          <w:rFonts w:ascii="Bookman Old Style" w:hAnsi="Bookman Old Style"/>
          <w:rtl w:val="0"/>
        </w:rPr>
        <w:t>Fresno, California 93740-8014</w:t>
      </w:r>
    </w:p>
    <w:p>
      <w:pPr>
        <w:pStyle w:val="Body"/>
        <w:rPr>
          <w:rFonts w:ascii="Bookman Old Style" w:cs="Bookman Old Style" w:hAnsi="Bookman Old Style" w:eastAsia="Bookman Old Style"/>
        </w:rPr>
      </w:pPr>
      <w:r>
        <w:rPr>
          <w:rFonts w:ascii="Bookman Old Style" w:hAnsi="Bookman Old Style"/>
          <w:rtl w:val="0"/>
          <w:lang w:val="en-US"/>
        </w:rPr>
        <w:t>Office of the Academic Senate</w:t>
        <w:tab/>
        <w:tab/>
        <w:tab/>
        <w:tab/>
        <w:t>FAX: 278-5745</w:t>
      </w:r>
    </w:p>
    <w:p>
      <w:pPr>
        <w:pStyle w:val="Body"/>
        <w:rPr>
          <w:rFonts w:ascii="Bookman Old Style" w:cs="Bookman Old Style" w:hAnsi="Bookman Old Style" w:eastAsia="Bookman Old Style"/>
        </w:rPr>
      </w:pPr>
      <w:r>
        <w:rPr>
          <w:rFonts w:ascii="Bookman Old Style" w:hAnsi="Bookman Old Style"/>
          <w:rtl w:val="0"/>
          <w:lang w:val="de-DE"/>
        </w:rPr>
        <w:t>TEL: 278-2743</w:t>
        <w:tab/>
        <w:tab/>
        <w:tab/>
        <w:tab/>
        <w:tab/>
        <w:tab/>
        <w:tab/>
        <w:t>(AS-9)</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March 9, 2020</w:t>
      </w:r>
    </w:p>
    <w:p>
      <w:pPr>
        <w:pStyle w:val="Body"/>
        <w:rPr>
          <w:rFonts w:ascii="Bookman Old Style" w:cs="Bookman Old Style" w:hAnsi="Bookman Old Style" w:eastAsia="Bookman Old Style"/>
        </w:rPr>
      </w:pPr>
    </w:p>
    <w:p>
      <w:pPr>
        <w:pStyle w:val="Body"/>
        <w:ind w:left="2880" w:hanging="2880"/>
        <w:rPr>
          <w:rFonts w:ascii="Bookman Old Style" w:cs="Bookman Old Style" w:hAnsi="Bookman Old Style" w:eastAsia="Bookman Old Style"/>
        </w:rPr>
      </w:pPr>
      <w:r>
        <w:rPr>
          <w:rFonts w:ascii="Bookman Old Style" w:hAnsi="Bookman Old Style"/>
          <w:rtl w:val="0"/>
          <w:lang w:val="en-US"/>
        </w:rPr>
        <w:t>Members excused:</w:t>
        <w:tab/>
        <w:t>A. Alexandrou, J. Biggane, T. Garcia, O. Hernandez, P. Hooshmandrad, Y. Luo, S. Pooya, J. Roos, K. Sun, A.M. Tawfik</w:t>
      </w:r>
    </w:p>
    <w:p>
      <w:pPr>
        <w:pStyle w:val="Body"/>
        <w:ind w:left="2520" w:hanging="2520"/>
        <w:rPr>
          <w:rFonts w:ascii="Bookman Old Style" w:cs="Bookman Old Style" w:hAnsi="Bookman Old Style" w:eastAsia="Bookman Old Style"/>
        </w:rPr>
      </w:pPr>
    </w:p>
    <w:p>
      <w:pPr>
        <w:pStyle w:val="Body"/>
        <w:ind w:left="2880" w:hanging="2880"/>
        <w:rPr>
          <w:rFonts w:ascii="Bookman Old Style" w:cs="Bookman Old Style" w:hAnsi="Bookman Old Style" w:eastAsia="Bookman Old Style"/>
        </w:rPr>
      </w:pPr>
      <w:r>
        <w:rPr>
          <w:rFonts w:ascii="Bookman Old Style" w:hAnsi="Bookman Old Style"/>
          <w:rtl w:val="0"/>
          <w:lang w:val="da-DK"/>
        </w:rPr>
        <w:t>Members absent:</w:t>
        <w:tab/>
        <w:t>P. DeWalt, M. Ellis, K. McBee, K. O</w:t>
      </w:r>
      <w:r>
        <w:rPr>
          <w:rFonts w:ascii="Bookman Old Style" w:hAnsi="Bookman Old Style" w:hint="default"/>
          <w:rtl w:val="0"/>
          <w:lang w:val="en-US"/>
        </w:rPr>
        <w:t>’</w:t>
      </w:r>
      <w:r>
        <w:rPr>
          <w:rFonts w:ascii="Bookman Old Style" w:hAnsi="Bookman Old Style"/>
          <w:rtl w:val="0"/>
          <w:lang w:val="it-IT"/>
        </w:rPr>
        <w:t>Connor, F. Parra, B. Taylor, W. Wise</w:t>
      </w:r>
    </w:p>
    <w:p>
      <w:pPr>
        <w:pStyle w:val="Body"/>
        <w:ind w:left="2880" w:hanging="2880"/>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The Academic Senate was called to order by Chair Holyoke at 4:03 p.m. in HML 2206.</w:t>
      </w:r>
    </w:p>
    <w:p>
      <w:pPr>
        <w:pStyle w:val="Body"/>
        <w:rPr>
          <w:rFonts w:ascii="Bookman Old Style" w:cs="Bookman Old Style" w:hAnsi="Bookman Old Style" w:eastAsia="Bookman Old Style"/>
        </w:rPr>
      </w:pPr>
    </w:p>
    <w:p>
      <w:pPr>
        <w:pStyle w:val="Body"/>
        <w:numPr>
          <w:ilvl w:val="0"/>
          <w:numId w:val="2"/>
        </w:numPr>
        <w:bidi w:val="0"/>
        <w:spacing w:line="240" w:lineRule="auto"/>
        <w:ind w:right="18"/>
        <w:jc w:val="left"/>
        <w:rPr>
          <w:rFonts w:ascii="Bookman Old Style" w:hAnsi="Bookman Old Style"/>
          <w:rtl w:val="0"/>
          <w:lang w:val="en-US"/>
        </w:rPr>
      </w:pPr>
      <w:r>
        <w:rPr>
          <w:rFonts w:ascii="Bookman Old Style" w:hAnsi="Bookman Old Style"/>
          <w:rtl w:val="0"/>
          <w:lang w:val="en-US"/>
        </w:rPr>
        <w:t>Approval of the Agenda.</w:t>
      </w:r>
    </w:p>
    <w:p>
      <w:pPr>
        <w:pStyle w:val="Body"/>
        <w:tabs>
          <w:tab w:val="left" w:pos="720"/>
        </w:tabs>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MSC approving the agenda </w:t>
      </w:r>
    </w:p>
    <w:p>
      <w:pPr>
        <w:pStyle w:val="Body"/>
        <w:tabs>
          <w:tab w:val="left" w:pos="720"/>
        </w:tabs>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rtl w:val="0"/>
          <w:lang w:val="en-US"/>
        </w:rPr>
        <w:t xml:space="preserve">Approval of the Minutes of 02/24/20 </w:t>
      </w:r>
    </w:p>
    <w:p>
      <w:pPr>
        <w:pStyle w:val="Body"/>
        <w:spacing w:line="240" w:lineRule="auto"/>
        <w:ind w:left="360" w:right="18" w:firstLine="0"/>
        <w:rPr>
          <w:rFonts w:ascii="Bookman Old Style" w:cs="Bookman Old Style" w:hAnsi="Bookman Old Style" w:eastAsia="Bookman Old Style"/>
        </w:rPr>
      </w:pPr>
    </w:p>
    <w:p>
      <w:pPr>
        <w:pStyle w:val="Body"/>
        <w:ind w:firstLine="360"/>
        <w:rPr>
          <w:rFonts w:ascii="Bookman Old Style" w:cs="Bookman Old Style" w:hAnsi="Bookman Old Style" w:eastAsia="Bookman Old Style"/>
        </w:rPr>
      </w:pPr>
      <w:r>
        <w:rPr>
          <w:rFonts w:ascii="Bookman Old Style" w:hAnsi="Bookman Old Style"/>
          <w:rtl w:val="0"/>
          <w:lang w:val="en-US"/>
        </w:rPr>
        <w:t>MSC approving the amended Minutes of 2/24/20</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Communications and Announcements</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Orlando Leon (Chief Information Officer) announced the roll out Duo dual authentication for students, and detailed some recent developments worldwide where students and financial aid money have been recent targets, illustrating the need for this system. Sen. Wilson expressed concern about a potential cost to those students that do not own smartphones. Mr. Leon mentioned that a $10 unit will be available at bookstore to address this potential need.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14:textFill>
            <w14:solidFill>
              <w14:srgbClr w14:val="0E0D0D"/>
            </w14:solidFill>
          </w14:textFill>
        </w:rPr>
        <w:t>Provost</w:t>
      </w:r>
      <w:r>
        <w:rPr>
          <w:rtl w:val="0"/>
        </w:rPr>
        <w:t xml:space="preserve"> </w:t>
      </w:r>
      <w:r>
        <w:rPr>
          <w:rFonts w:ascii="Bookman Old Style" w:hAnsi="Bookman Old Style"/>
          <w:outline w:val="0"/>
          <w:color w:val="0e0d0d"/>
          <w:u w:color="0e0d0d"/>
          <w:rtl w:val="0"/>
          <w14:textFill>
            <w14:solidFill>
              <w14:srgbClr w14:val="0E0D0D"/>
            </w14:solidFill>
          </w14:textFill>
        </w:rPr>
        <w:t>Jim</w:t>
      </w:r>
      <w:r>
        <w:rPr>
          <w:rFonts w:ascii="Bookman Old Style" w:hAnsi="Bookman Old Style" w:hint="default"/>
          <w:outline w:val="0"/>
          <w:color w:val="0e0d0d"/>
          <w:u w:color="0e0d0d"/>
          <w:rtl w:val="0"/>
          <w:lang w:val="en-US"/>
          <w14:textFill>
            <w14:solidFill>
              <w14:srgbClr w14:val="0E0D0D"/>
            </w14:solidFill>
          </w14:textFill>
        </w:rPr>
        <w:t>é</w:t>
      </w:r>
      <w:r>
        <w:rPr>
          <w:rFonts w:ascii="Bookman Old Style" w:hAnsi="Bookman Old Style"/>
          <w:outline w:val="0"/>
          <w:color w:val="0e0d0d"/>
          <w:u w:color="0e0d0d"/>
          <w:rtl w:val="0"/>
          <w:lang w:val="en-US"/>
          <w14:textFill>
            <w14:solidFill>
              <w14:srgbClr w14:val="0E0D0D"/>
            </w14:solidFill>
          </w14:textFill>
        </w:rPr>
        <w:t xml:space="preserve">nez-Sandoval gave an update on the COVID-19 situation from the incidence response team, and mentioned their ongoing information campaign to students and faculty/staff. Plans are in place with collaboration from CFE (Dr. Sanchez and Dr. Barret) for online and other teaching needs, addressed ongoing heath access, the fact that some CGE study abroad trips groups are canceled, and others still in consultation. Concerns about house-insecure students are being addressed with planning, and that maintenance has ramped up disinfections and cleaning campus wide. A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Plans for Virtual Teaching</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 form was sent out to all faculty and all are asked to please turn this in so that challenges can be assessed. If face-to-face instruction were to be suspended, a few day period will be given to faculty to assess and prepare for their classes- however, given the situation we asking all to make do and just do the best we can.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Walter asked if APM206 will it be suspended. Chair Holyoke affirmed that the Executive Committee met and agreed to relaxed enforcement of APMs 206, 232, 237, and 338 for the duration of the suspended face-to-face sessions.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Botwin asked about potential impact on travel for conferences/research. The Provost cautioned that only essential travel will be allowed and a memo on this will be sent out soon.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Ram asked who will be responsible for costs of any canceled travel. The Provost said this must be assessed on a case by case basis.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A senator asked if faculty will be allowed into their offices. The Provost said that if face-to-face classes are suspended, then faculty can come on to campus but do have the option to work from home.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Sen Wilson asked about the needs of students that don</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t have appropriate computing for needed online access. Mr. Leon mentioned 4000 loaners and some spares via the library</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14:textFill>
            <w14:solidFill>
              <w14:srgbClr w14:val="0E0D0D"/>
            </w14:solidFill>
          </w14:textFill>
        </w:rPr>
        <w:t xml:space="preserve">s loaner program.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Walter asked about coordination with local school districts and expressed her concern that if K-12 sessions are cancelled that it will impact our students and staff. The Provost acknowledged the need for consultation and said all parties are in contact.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Lewis asked how the situation will effect searches. The Provost said all are going forward at the moment, although Skype sessions made be used instead of visits.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Installation of New Senators</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No Spacing"/>
        <w:ind w:left="720" w:firstLine="0"/>
        <w:rPr>
          <w:rFonts w:ascii="Bookman Old Style" w:cs="Bookman Old Style" w:hAnsi="Bookman Old Style" w:eastAsia="Bookman Old Style"/>
        </w:rPr>
      </w:pPr>
      <w:r>
        <w:rPr>
          <w:rFonts w:ascii="Bookman Old Style" w:hAnsi="Bookman Old Style"/>
          <w:rtl w:val="0"/>
          <w:lang w:val="en-US"/>
        </w:rPr>
        <w:t>Balderama, Earvin</w:t>
      </w: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Mathematics Department</w:t>
      </w:r>
    </w:p>
    <w:p>
      <w:pPr>
        <w:pStyle w:val="No Spacing"/>
        <w:ind w:left="720" w:hanging="720"/>
        <w:rPr>
          <w:rFonts w:ascii="Bookman Old Style" w:cs="Bookman Old Style" w:hAnsi="Bookman Old Style" w:eastAsia="Bookman Old Style"/>
        </w:rPr>
      </w:pP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Crowell, Amber</w:t>
      </w: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Sociology Department</w:t>
      </w:r>
    </w:p>
    <w:p>
      <w:pPr>
        <w:pStyle w:val="No Spacing"/>
        <w:ind w:left="720" w:hanging="720"/>
        <w:rPr>
          <w:rFonts w:ascii="Bookman Old Style" w:cs="Bookman Old Style" w:hAnsi="Bookman Old Style" w:eastAsia="Bookman Old Style"/>
        </w:rPr>
      </w:pP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Jordan, Keith</w:t>
      </w: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Art and Design Department</w:t>
      </w:r>
    </w:p>
    <w:p>
      <w:pPr>
        <w:pStyle w:val="No Spacing"/>
        <w:ind w:left="720" w:hanging="720"/>
        <w:rPr>
          <w:rFonts w:ascii="Bookman Old Style" w:cs="Bookman Old Style" w:hAnsi="Bookman Old Style" w:eastAsia="Bookman Old Style"/>
        </w:rPr>
      </w:pP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Pooya, Shabnam</w:t>
      </w: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Food Science and Nutrition Department</w:t>
      </w:r>
    </w:p>
    <w:p>
      <w:pPr>
        <w:pStyle w:val="No Spacing"/>
        <w:ind w:left="720" w:hanging="720"/>
        <w:rPr>
          <w:rFonts w:ascii="Bookman Old Style" w:cs="Bookman Old Style" w:hAnsi="Bookman Old Style" w:eastAsia="Bookman Old Style"/>
        </w:rPr>
      </w:pP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Jakobs, Lynn</w:t>
      </w:r>
    </w:p>
    <w:p>
      <w:pPr>
        <w:pStyle w:val="No Spacing"/>
        <w:ind w:left="720" w:hanging="720"/>
        <w:rPr>
          <w:rFonts w:ascii="Bookman Old Style" w:cs="Bookman Old Style" w:hAnsi="Bookman Old Style" w:eastAsia="Bookman Old Style"/>
        </w:rPr>
      </w:pPr>
      <w:r>
        <w:rPr>
          <w:rFonts w:ascii="Bookman Old Style" w:cs="Bookman Old Style" w:hAnsi="Bookman Old Style" w:eastAsia="Bookman Old Style"/>
          <w:rtl w:val="0"/>
        </w:rPr>
        <w:tab/>
        <w:t>Nursing Department</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New Business.</w:t>
      </w: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outline w:val="0"/>
          <w:color w:val="0e0d0d"/>
          <w:u w:color="0e0d0d"/>
          <w:rtl w:val="0"/>
          <w:lang w:val="en-US"/>
          <w14:textFill>
            <w14:solidFill>
              <w14:srgbClr w14:val="0E0D0D"/>
            </w14:solidFill>
          </w14:textFill>
        </w:rPr>
        <w:t xml:space="preserve"> none</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APM 420 Student-Athlete Code of Conduct. Athletic Advisory Council. Second Reading.</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Some friendly amendments were applied to the added sentence from last session.</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Sen. Miele moved to table the code document until APM 420 is approved.</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MSC</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Vote to Approve APM 420:</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MSC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Vote to approve Code of conduct:</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MSC</w:t>
      </w:r>
    </w:p>
    <w:p>
      <w:pPr>
        <w:pStyle w:val="List Paragraph"/>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APM 232 Student Absences.  Academic Policy and Planning Committee. Second reading.</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Mullooly acting in his capacity as the Chair AP&amp;P gave some background on the policy proposed. </w:t>
      </w: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Van Camp expressed concern with term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extreme circumstances</w:t>
      </w:r>
      <w:r>
        <w:rPr>
          <w:rFonts w:ascii="Bookman Old Style" w:hAnsi="Bookman Old Style" w:hint="default"/>
          <w:outline w:val="0"/>
          <w:color w:val="0e0d0d"/>
          <w:u w:color="0e0d0d"/>
          <w:rtl w:val="0"/>
          <w:lang w:val="en-US"/>
          <w14:textFill>
            <w14:solidFill>
              <w14:srgbClr w14:val="0E0D0D"/>
            </w14:solidFill>
          </w14:textFill>
        </w:rPr>
        <w:t xml:space="preserve">” </w:t>
      </w:r>
      <w:r>
        <w:rPr>
          <w:rFonts w:ascii="Bookman Old Style" w:hAnsi="Bookman Old Style"/>
          <w:outline w:val="0"/>
          <w:color w:val="0e0d0d"/>
          <w:u w:color="0e0d0d"/>
          <w:rtl w:val="0"/>
          <w:lang w:val="en-US"/>
          <w14:textFill>
            <w14:solidFill>
              <w14:srgbClr w14:val="0E0D0D"/>
            </w14:solidFill>
          </w14:textFill>
        </w:rPr>
        <w:t xml:space="preserve">used in the policy, and that we should not forget that young parents might need certain accommodations under Title IX, specifically that of young parents, and hoped that these needs might be covered by the term 'extreme circumstances'. Sen. Mullooly in response noted that it is quite rare that cases are brought forward via this policy.  </w:t>
      </w: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Vote to approve revised APM232: </w:t>
      </w: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72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14:textFill>
            <w14:solidFill>
              <w14:srgbClr w14:val="0E0D0D"/>
            </w14:solidFill>
          </w14:textFill>
        </w:rPr>
        <w:t xml:space="preserve"> MSC </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 xml:space="preserve">CFS move from the Jordan College of Agricultural Sciences to the College of Social Sciences.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outline w:val="0"/>
          <w:color w:val="0e0d0d"/>
          <w:u w:color="0e0d0d"/>
          <w:rtl w:val="0"/>
          <w:lang w:val="en-US"/>
          <w14:textFill>
            <w14:solidFill>
              <w14:srgbClr w14:val="0E0D0D"/>
            </w14:solidFill>
          </w14:textFill>
        </w:rPr>
        <w:t>Chair Holyoke: postpone discussion until next meeting.</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Women</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s Studies Program Reclassification to Women</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s, Gender and Sexuality Studies.</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outline w:val="0"/>
          <w:color w:val="0e0d0d"/>
          <w:u w:color="0e0d0d"/>
          <w:rtl w:val="0"/>
          <w:lang w:val="en-US"/>
          <w14:textFill>
            <w14:solidFill>
              <w14:srgbClr w14:val="0E0D0D"/>
            </w14:solidFill>
          </w14:textFill>
        </w:rPr>
        <w:t>Chair Holyoke: postpone discussion until next meeting.</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Student Internship Policy. Academic Policy and Planning Committee.</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rtl w:val="0"/>
          <w:lang w:val="en-US"/>
        </w:rPr>
        <w:t xml:space="preserve">Once again </w:t>
      </w:r>
      <w:r>
        <w:rPr>
          <w:rFonts w:ascii="Bookman Old Style" w:hAnsi="Bookman Old Style"/>
          <w:outline w:val="0"/>
          <w:color w:val="0e0d0d"/>
          <w:u w:color="0e0d0d"/>
          <w:rtl w:val="0"/>
          <w:lang w:val="en-US"/>
          <w14:textFill>
            <w14:solidFill>
              <w14:srgbClr w14:val="0E0D0D"/>
            </w14:solidFill>
          </w14:textFill>
        </w:rPr>
        <w:t xml:space="preserve">Sen. Mullooly acting in his capacity as the Chair AP&amp;P gave some background on the policy proposed. </w:t>
      </w:r>
    </w:p>
    <w:p>
      <w:pPr>
        <w:pStyle w:val="Body"/>
        <w:spacing w:line="240" w:lineRule="auto"/>
        <w:ind w:right="18"/>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Sen. Cronin mentioned a concern about the </w:t>
      </w:r>
      <w:r>
        <w:rPr>
          <w:rFonts w:ascii="Bookman Old Style" w:hAnsi="Bookman Old Style" w:hint="default"/>
          <w:rtl w:val="0"/>
          <w:lang w:val="en-US"/>
        </w:rPr>
        <w:t>“</w:t>
      </w:r>
      <w:r>
        <w:rPr>
          <w:rFonts w:ascii="Bookman Old Style" w:hAnsi="Bookman Old Style"/>
          <w:rtl w:val="0"/>
        </w:rPr>
        <w:t>I</w:t>
      </w:r>
      <w:r>
        <w:rPr>
          <w:rFonts w:ascii="Bookman Old Style" w:hAnsi="Bookman Old Style" w:hint="default"/>
          <w:rtl w:val="0"/>
          <w:lang w:val="en-US"/>
        </w:rPr>
        <w:t xml:space="preserve">” </w:t>
      </w:r>
      <w:r>
        <w:rPr>
          <w:rFonts w:ascii="Bookman Old Style" w:hAnsi="Bookman Old Style"/>
          <w:rtl w:val="0"/>
          <w:lang w:val="en-US"/>
        </w:rPr>
        <w:t xml:space="preserve">designation (such as Soc232I). The </w:t>
      </w:r>
      <w:r>
        <w:rPr>
          <w:rFonts w:ascii="Bookman Old Style" w:hAnsi="Bookman Old Style" w:hint="default"/>
          <w:rtl w:val="0"/>
          <w:lang w:val="en-US"/>
        </w:rPr>
        <w:t>“</w:t>
      </w:r>
      <w:r>
        <w:rPr>
          <w:rFonts w:ascii="Bookman Old Style" w:hAnsi="Bookman Old Style"/>
          <w:rtl w:val="0"/>
        </w:rPr>
        <w:t>I</w:t>
      </w:r>
      <w:r>
        <w:rPr>
          <w:rFonts w:ascii="Bookman Old Style" w:hAnsi="Bookman Old Style" w:hint="default"/>
          <w:rtl w:val="0"/>
          <w:lang w:val="en-US"/>
        </w:rPr>
        <w:t xml:space="preserve">” </w:t>
      </w:r>
      <w:r>
        <w:rPr>
          <w:rFonts w:ascii="Bookman Old Style" w:hAnsi="Bookman Old Style"/>
          <w:rtl w:val="0"/>
          <w:lang w:val="en-US"/>
        </w:rPr>
        <w:t xml:space="preserve">can be easily misread (is it a 1 or an I?) and he recommended using a lower case </w:t>
      </w:r>
      <w:r>
        <w:rPr>
          <w:rFonts w:ascii="Bookman Old Style" w:hAnsi="Bookman Old Style" w:hint="default"/>
          <w:rtl w:val="0"/>
          <w:lang w:val="en-US"/>
        </w:rPr>
        <w:t>“</w:t>
      </w:r>
      <w:r>
        <w:rPr>
          <w:rFonts w:ascii="Bookman Old Style" w:hAnsi="Bookman Old Style"/>
          <w:rtl w:val="0"/>
        </w:rPr>
        <w:t>i</w:t>
      </w:r>
      <w:r>
        <w:rPr>
          <w:rFonts w:ascii="Bookman Old Style" w:hAnsi="Bookman Old Style" w:hint="default"/>
          <w:rtl w:val="0"/>
          <w:lang w:val="en-US"/>
        </w:rPr>
        <w:t xml:space="preserve">” </w:t>
      </w:r>
      <w:r>
        <w:rPr>
          <w:rFonts w:ascii="Bookman Old Style" w:hAnsi="Bookman Old Style"/>
          <w:rtl w:val="0"/>
          <w:lang w:val="en-US"/>
        </w:rPr>
        <w:t xml:space="preserve">in these class designations. Dr. Muscat will investigate and report back. </w:t>
      </w:r>
    </w:p>
    <w:p>
      <w:pPr>
        <w:pStyle w:val="Body"/>
        <w:spacing w:line="240" w:lineRule="auto"/>
        <w:ind w:right="18"/>
        <w:rPr>
          <w:rFonts w:ascii="Bookman Old Style" w:cs="Bookman Old Style" w:hAnsi="Bookman Old Style" w:eastAsia="Bookman Old Style"/>
        </w:rPr>
      </w:pPr>
    </w:p>
    <w:p>
      <w:pPr>
        <w:pStyle w:val="List Paragraph"/>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rtl w:val="0"/>
          <w:lang w:val="en-US"/>
        </w:rPr>
        <w:t>-----------------------------------</w:t>
      </w:r>
    </w:p>
    <w:p>
      <w:pPr>
        <w:pStyle w:val="Body"/>
        <w:tabs>
          <w:tab w:val="left" w:pos="720"/>
        </w:tabs>
        <w:spacing w:line="240" w:lineRule="auto"/>
        <w:ind w:right="18"/>
        <w:rPr>
          <w:rFonts w:ascii="Bookman Old Style" w:cs="Bookman Old Style" w:hAnsi="Bookman Old Style" w:eastAsia="Bookman Old Style"/>
        </w:rPr>
      </w:pPr>
    </w:p>
    <w:p>
      <w:pPr>
        <w:pStyle w:val="Body"/>
        <w:ind w:left="720" w:hanging="720"/>
        <w:rPr>
          <w:rFonts w:ascii="Bookman Old Style" w:cs="Bookman Old Style" w:hAnsi="Bookman Old Style" w:eastAsia="Bookman Old Style"/>
        </w:rPr>
      </w:pPr>
      <w:r>
        <w:rPr>
          <w:rFonts w:ascii="Bookman Old Style" w:hAnsi="Bookman Old Style"/>
          <w:rtl w:val="0"/>
          <w:lang w:val="en-US"/>
        </w:rPr>
        <w:t xml:space="preserve">The Academic Senate adjourned at 5:10 p.m.  </w:t>
      </w:r>
    </w:p>
    <w:p>
      <w:pPr>
        <w:pStyle w:val="Body"/>
        <w:rPr>
          <w:rFonts w:ascii="Bookman Old Style" w:cs="Bookman Old Style" w:hAnsi="Bookman Old Style" w:eastAsia="Bookman Old Style"/>
        </w:rPr>
      </w:pPr>
      <w:r>
        <w:rPr>
          <w:rFonts w:ascii="Bookman Old Style" w:hAnsi="Bookman Old Style"/>
          <w:rtl w:val="0"/>
          <w:lang w:val="en-US"/>
        </w:rPr>
        <w:t>The next meeting of the Academic Senate will be Monday, March 16, 2020.</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Submitted by</w:t>
        <w:tab/>
        <w:tab/>
        <w:tab/>
        <w:tab/>
        <w:tab/>
        <w:t>Approved by</w:t>
      </w:r>
    </w:p>
    <w:p>
      <w:pPr>
        <w:pStyle w:val="Body"/>
        <w:rPr>
          <w:rFonts w:ascii="Bookman Old Style" w:cs="Bookman Old Style" w:hAnsi="Bookman Old Style" w:eastAsia="Bookman Old Style"/>
        </w:rPr>
      </w:pPr>
      <w:r>
        <w:rPr>
          <w:rFonts w:ascii="Bookman Old Style" w:hAnsi="Bookman Old Style"/>
          <w:rtl w:val="0"/>
          <w:lang w:val="en-US"/>
        </w:rPr>
        <w:t>Raymond Hall</w:t>
        <w:tab/>
        <w:tab/>
        <w:tab/>
        <w:tab/>
        <w:tab/>
        <w:t>Thomas Holyoke</w:t>
      </w:r>
    </w:p>
    <w:p>
      <w:pPr>
        <w:pStyle w:val="Body"/>
        <w:rPr>
          <w:rFonts w:ascii="Bookman Old Style" w:cs="Bookman Old Style" w:hAnsi="Bookman Old Style" w:eastAsia="Bookman Old Style"/>
        </w:rPr>
      </w:pPr>
      <w:r>
        <w:rPr>
          <w:rFonts w:ascii="Bookman Old Style" w:hAnsi="Bookman Old Style"/>
          <w:rtl w:val="0"/>
          <w:lang w:val="fr-FR"/>
        </w:rPr>
        <w:t>Vice Chair</w:t>
        <w:tab/>
        <w:tab/>
        <w:tab/>
        <w:tab/>
        <w:tab/>
        <w:tab/>
        <w:t>Chair</w:t>
        <w:tab/>
        <w:tab/>
        <w:tab/>
        <w:tab/>
      </w:r>
    </w:p>
    <w:p>
      <w:pPr>
        <w:pStyle w:val="Body"/>
        <w:jc w:val="both"/>
        <w:rPr>
          <w:rFonts w:ascii="Bookman Old Style" w:cs="Bookman Old Style" w:hAnsi="Bookman Old Style" w:eastAsia="Bookman Old Style"/>
          <w:sz w:val="22"/>
          <w:szCs w:val="22"/>
        </w:rPr>
      </w:pPr>
      <w:r>
        <w:rPr>
          <w:rFonts w:ascii="Bookman Old Style" w:hAnsi="Bookman Old Style"/>
          <w:rtl w:val="0"/>
          <w:lang w:val="en-US"/>
        </w:rPr>
        <w:t>Academic Senate</w:t>
        <w:tab/>
        <w:tab/>
        <w:tab/>
        <w:tab/>
        <w:t>Academic Senate</w:t>
        <w:tab/>
      </w:r>
      <w:r>
        <w:rPr>
          <w:rFonts w:ascii="Bookman Old Style" w:cs="Bookman Old Style" w:hAnsi="Bookman Old Style" w:eastAsia="Bookman Old Style"/>
          <w:sz w:val="22"/>
          <w:szCs w:val="22"/>
        </w:rPr>
        <w:tab/>
      </w:r>
    </w:p>
    <w:p>
      <w:pPr>
        <w:pStyle w:val="Body"/>
        <w:jc w:val="both"/>
        <w:rPr>
          <w:rFonts w:ascii="Bookman Old Style" w:cs="Bookman Old Style" w:hAnsi="Bookman Old Style" w:eastAsia="Bookman Old Style"/>
          <w:sz w:val="22"/>
          <w:szCs w:val="22"/>
        </w:rPr>
      </w:pPr>
    </w:p>
    <w:p>
      <w:pPr>
        <w:pStyle w:val="Body"/>
        <w:jc w:val="both"/>
      </w:pPr>
      <w:r>
        <w:rPr>
          <w:rFonts w:ascii="Bookman Old Style" w:cs="Bookman Old Style" w:hAnsi="Bookman Old Style" w:eastAsia="Bookman Old Style"/>
          <w:sz w:val="22"/>
          <w:szCs w:val="22"/>
        </w:rPr>
      </w:r>
    </w:p>
    <w:sectPr>
      <w:headerReference w:type="default" r:id="rId4"/>
      <w:headerReference w:type="first" r:id="rId5"/>
      <w:footerReference w:type="default" r:id="rId6"/>
      <w:footerReference w:type="first" r:id="rId7"/>
      <w:pgSz w:w="12240" w:h="15840" w:orient="portrait"/>
      <w:pgMar w:top="1152"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pPr>
    <w:r>
      <w:rPr>
        <w:rtl w:val="0"/>
        <w:lang w:val="en-US"/>
      </w:rPr>
      <w:t>Academic Senate Meeting</w:t>
    </w:r>
  </w:p>
  <w:p>
    <w:pPr>
      <w:pStyle w:val="header"/>
      <w:tabs>
        <w:tab w:val="right" w:pos="9340"/>
        <w:tab w:val="clear" w:pos="9360"/>
      </w:tabs>
      <w:jc w:val="right"/>
    </w:pPr>
    <w:r>
      <w:rPr>
        <w:rtl w:val="0"/>
        <w:lang w:val="en-US"/>
      </w:rPr>
      <w:t>March 9, 2020</w:t>
    </w:r>
  </w:p>
  <w:p>
    <w:pPr>
      <w:pStyle w:val="header"/>
      <w:tabs>
        <w:tab w:val="left" w:pos="8352"/>
        <w:tab w:val="right" w:pos="9340"/>
        <w:tab w:val="clear" w:pos="9360"/>
      </w:tabs>
    </w:pPr>
    <w:r>
      <w:rPr>
        <w:rtl w:val="0"/>
      </w:rPr>
      <w:tab/>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20"/>
        </w:tabs>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