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98BE9" w14:textId="36C3B34F" w:rsidR="00312ABC" w:rsidRDefault="00312ABC" w:rsidP="00312ABC">
      <w:pPr>
        <w:jc w:val="center"/>
        <w:rPr>
          <w:b/>
          <w:sz w:val="32"/>
        </w:rPr>
      </w:pPr>
      <w:r w:rsidRPr="00312ABC">
        <w:rPr>
          <w:b/>
          <w:sz w:val="32"/>
        </w:rPr>
        <w:t>MULTICULTURAL/INTERNATIONAL SUBCOMMITTEE</w:t>
      </w:r>
    </w:p>
    <w:p w14:paraId="095A0EFC" w14:textId="5EFD7D96" w:rsidR="00312ABC" w:rsidRPr="00312ABC" w:rsidRDefault="00312ABC" w:rsidP="00312ABC">
      <w:pPr>
        <w:jc w:val="center"/>
        <w:rPr>
          <w:b/>
        </w:rPr>
      </w:pPr>
      <w:r w:rsidRPr="00312ABC">
        <w:rPr>
          <w:b/>
          <w:sz w:val="28"/>
        </w:rPr>
        <w:t>California State University, Fresno</w:t>
      </w:r>
    </w:p>
    <w:p w14:paraId="0CC2A4CF" w14:textId="77777777" w:rsidR="00312ABC" w:rsidRPr="00312ABC" w:rsidRDefault="00312ABC" w:rsidP="00312ABC">
      <w:pPr>
        <w:jc w:val="center"/>
        <w:rPr>
          <w:b/>
          <w:sz w:val="12"/>
          <w:szCs w:val="12"/>
        </w:rPr>
      </w:pPr>
    </w:p>
    <w:p w14:paraId="3A6B96AE" w14:textId="4483A4E7" w:rsidR="00964CC0" w:rsidRPr="00312ABC" w:rsidRDefault="00964CC0" w:rsidP="00312ABC">
      <w:pPr>
        <w:jc w:val="center"/>
        <w:rPr>
          <w:sz w:val="28"/>
        </w:rPr>
      </w:pPr>
      <w:r w:rsidRPr="00312ABC">
        <w:rPr>
          <w:b/>
          <w:sz w:val="28"/>
        </w:rPr>
        <w:t>CRITERIA FOR EVALUATING M/I COURSE PROPOSALS</w:t>
      </w:r>
      <w:r w:rsidR="00312ABC" w:rsidRPr="00312ABC">
        <w:rPr>
          <w:sz w:val="28"/>
        </w:rPr>
        <w:t>—updated 3.11.20</w:t>
      </w:r>
    </w:p>
    <w:tbl>
      <w:tblPr>
        <w:tblStyle w:val="TableGrid"/>
        <w:tblW w:w="9929" w:type="dxa"/>
        <w:tblLook w:val="04A0" w:firstRow="1" w:lastRow="0" w:firstColumn="1" w:lastColumn="0" w:noHBand="0" w:noVBand="1"/>
      </w:tblPr>
      <w:tblGrid>
        <w:gridCol w:w="5580"/>
        <w:gridCol w:w="720"/>
        <w:gridCol w:w="659"/>
        <w:gridCol w:w="2970"/>
      </w:tblGrid>
      <w:tr w:rsidR="003E15DA" w14:paraId="13CB317F" w14:textId="77777777" w:rsidTr="00312ABC">
        <w:trPr>
          <w:trHeight w:val="404"/>
        </w:trPr>
        <w:tc>
          <w:tcPr>
            <w:tcW w:w="5580" w:type="dxa"/>
            <w:tcBorders>
              <w:bottom w:val="single" w:sz="18" w:space="0" w:color="auto"/>
            </w:tcBorders>
          </w:tcPr>
          <w:p w14:paraId="4C80716B" w14:textId="77777777" w:rsidR="00964CC0" w:rsidRPr="005C0D92" w:rsidRDefault="00964CC0" w:rsidP="005C0D92">
            <w:pPr>
              <w:jc w:val="center"/>
              <w:rPr>
                <w:b/>
              </w:rPr>
            </w:pPr>
            <w:r w:rsidRPr="005C0D92">
              <w:rPr>
                <w:b/>
              </w:rPr>
              <w:t>REQUIREMENT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14:paraId="768BF866" w14:textId="77777777" w:rsidR="00964CC0" w:rsidRPr="005C0D92" w:rsidRDefault="00964CC0" w:rsidP="005C0D92">
            <w:pPr>
              <w:jc w:val="center"/>
              <w:rPr>
                <w:b/>
              </w:rPr>
            </w:pPr>
            <w:r w:rsidRPr="005C0D92">
              <w:rPr>
                <w:b/>
              </w:rPr>
              <w:t>YES</w:t>
            </w:r>
          </w:p>
        </w:tc>
        <w:tc>
          <w:tcPr>
            <w:tcW w:w="659" w:type="dxa"/>
            <w:tcBorders>
              <w:bottom w:val="single" w:sz="18" w:space="0" w:color="auto"/>
              <w:right w:val="single" w:sz="4" w:space="0" w:color="000000"/>
            </w:tcBorders>
          </w:tcPr>
          <w:p w14:paraId="72C55BC9" w14:textId="77777777" w:rsidR="00964CC0" w:rsidRPr="005C0D92" w:rsidRDefault="00964CC0" w:rsidP="005C0D92">
            <w:pPr>
              <w:jc w:val="center"/>
              <w:rPr>
                <w:b/>
              </w:rPr>
            </w:pPr>
            <w:r w:rsidRPr="005C0D92">
              <w:rPr>
                <w:b/>
              </w:rPr>
              <w:t>NO</w:t>
            </w:r>
          </w:p>
        </w:tc>
        <w:tc>
          <w:tcPr>
            <w:tcW w:w="2970" w:type="dxa"/>
            <w:tcBorders>
              <w:left w:val="single" w:sz="4" w:space="0" w:color="000000"/>
              <w:bottom w:val="single" w:sz="18" w:space="0" w:color="auto"/>
            </w:tcBorders>
          </w:tcPr>
          <w:p w14:paraId="185F1C3E" w14:textId="77777777" w:rsidR="00964CC0" w:rsidRPr="005C0D92" w:rsidRDefault="00964CC0" w:rsidP="005C0D92">
            <w:pPr>
              <w:jc w:val="center"/>
              <w:rPr>
                <w:b/>
              </w:rPr>
            </w:pPr>
            <w:r w:rsidRPr="005C0D92">
              <w:rPr>
                <w:b/>
              </w:rPr>
              <w:t>COMMENTS</w:t>
            </w:r>
          </w:p>
        </w:tc>
      </w:tr>
      <w:tr w:rsidR="003E15DA" w14:paraId="47DBE3F1" w14:textId="77777777" w:rsidTr="00312ABC">
        <w:trPr>
          <w:trHeight w:val="287"/>
        </w:trPr>
        <w:tc>
          <w:tcPr>
            <w:tcW w:w="9929" w:type="dxa"/>
            <w:gridSpan w:val="4"/>
            <w:tcBorders>
              <w:top w:val="single" w:sz="18" w:space="0" w:color="auto"/>
              <w:bottom w:val="single" w:sz="12" w:space="0" w:color="auto"/>
            </w:tcBorders>
          </w:tcPr>
          <w:p w14:paraId="753686BD" w14:textId="0777CB55" w:rsidR="003E15DA" w:rsidRDefault="003E15DA" w:rsidP="003E15DA">
            <w:pPr>
              <w:jc w:val="center"/>
            </w:pPr>
            <w:r>
              <w:t>APM 217</w:t>
            </w:r>
            <w:r w:rsidR="00312ABC">
              <w:t>*</w:t>
            </w:r>
          </w:p>
        </w:tc>
      </w:tr>
      <w:tr w:rsidR="003E15DA" w14:paraId="04510317" w14:textId="77777777" w:rsidTr="00312ABC">
        <w:trPr>
          <w:trHeight w:val="287"/>
        </w:trPr>
        <w:tc>
          <w:tcPr>
            <w:tcW w:w="5580" w:type="dxa"/>
            <w:tcBorders>
              <w:top w:val="single" w:sz="12" w:space="0" w:color="auto"/>
            </w:tcBorders>
          </w:tcPr>
          <w:p w14:paraId="59C461F3" w14:textId="77777777" w:rsidR="00964CC0" w:rsidRDefault="00964CC0" w:rsidP="00964CC0">
            <w:pPr>
              <w:pStyle w:val="ListParagraph"/>
              <w:numPr>
                <w:ilvl w:val="0"/>
                <w:numId w:val="1"/>
              </w:numPr>
            </w:pPr>
            <w:r>
              <w:t xml:space="preserve">Course is </w:t>
            </w:r>
            <w:proofErr w:type="gramStart"/>
            <w:r>
              <w:t>upper-division</w:t>
            </w:r>
            <w:proofErr w:type="gramEnd"/>
            <w:r>
              <w:t>.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5DEE9977" w14:textId="77777777" w:rsidR="00964CC0" w:rsidRDefault="00964CC0"/>
        </w:tc>
        <w:tc>
          <w:tcPr>
            <w:tcW w:w="659" w:type="dxa"/>
            <w:tcBorders>
              <w:top w:val="single" w:sz="12" w:space="0" w:color="auto"/>
              <w:right w:val="single" w:sz="4" w:space="0" w:color="000000"/>
            </w:tcBorders>
          </w:tcPr>
          <w:p w14:paraId="2582638B" w14:textId="77777777" w:rsidR="00964CC0" w:rsidRDefault="00964CC0"/>
        </w:tc>
        <w:tc>
          <w:tcPr>
            <w:tcW w:w="2970" w:type="dxa"/>
            <w:tcBorders>
              <w:top w:val="single" w:sz="12" w:space="0" w:color="auto"/>
              <w:left w:val="single" w:sz="4" w:space="0" w:color="000000"/>
            </w:tcBorders>
          </w:tcPr>
          <w:p w14:paraId="163181E6" w14:textId="77777777" w:rsidR="00964CC0" w:rsidRDefault="00964CC0"/>
        </w:tc>
      </w:tr>
      <w:tr w:rsidR="003E15DA" w14:paraId="31590496" w14:textId="77777777" w:rsidTr="00312ABC">
        <w:trPr>
          <w:trHeight w:val="287"/>
        </w:trPr>
        <w:tc>
          <w:tcPr>
            <w:tcW w:w="5580" w:type="dxa"/>
          </w:tcPr>
          <w:p w14:paraId="32F0351D" w14:textId="77777777" w:rsidR="00964CC0" w:rsidRDefault="00964CC0" w:rsidP="00964CC0">
            <w:pPr>
              <w:pStyle w:val="ListParagraph"/>
              <w:numPr>
                <w:ilvl w:val="0"/>
                <w:numId w:val="1"/>
              </w:numPr>
            </w:pPr>
            <w:r>
              <w:t>Course is worth 3 units.</w:t>
            </w:r>
          </w:p>
        </w:tc>
        <w:tc>
          <w:tcPr>
            <w:tcW w:w="720" w:type="dxa"/>
          </w:tcPr>
          <w:p w14:paraId="4432765F" w14:textId="77777777" w:rsidR="00964CC0" w:rsidRDefault="00964CC0"/>
        </w:tc>
        <w:tc>
          <w:tcPr>
            <w:tcW w:w="659" w:type="dxa"/>
            <w:tcBorders>
              <w:right w:val="single" w:sz="4" w:space="0" w:color="000000"/>
            </w:tcBorders>
          </w:tcPr>
          <w:p w14:paraId="5EF3F65F" w14:textId="77777777" w:rsidR="00964CC0" w:rsidRDefault="00964CC0"/>
        </w:tc>
        <w:tc>
          <w:tcPr>
            <w:tcW w:w="2970" w:type="dxa"/>
            <w:tcBorders>
              <w:left w:val="single" w:sz="4" w:space="0" w:color="000000"/>
            </w:tcBorders>
          </w:tcPr>
          <w:p w14:paraId="503F8EE0" w14:textId="77777777" w:rsidR="00964CC0" w:rsidRDefault="00964CC0"/>
        </w:tc>
      </w:tr>
      <w:tr w:rsidR="003E15DA" w14:paraId="6E023BB6" w14:textId="77777777" w:rsidTr="00312ABC">
        <w:trPr>
          <w:trHeight w:val="287"/>
        </w:trPr>
        <w:tc>
          <w:tcPr>
            <w:tcW w:w="5580" w:type="dxa"/>
          </w:tcPr>
          <w:p w14:paraId="3F11C6D5" w14:textId="77777777" w:rsidR="00964CC0" w:rsidRDefault="00964CC0" w:rsidP="00964CC0">
            <w:pPr>
              <w:pStyle w:val="ListParagraph"/>
              <w:numPr>
                <w:ilvl w:val="0"/>
                <w:numId w:val="1"/>
              </w:numPr>
            </w:pPr>
            <w:r>
              <w:t xml:space="preserve">The following student learning outcomes are indicated: </w:t>
            </w:r>
            <w:r w:rsidRPr="00964CC0">
              <w:rPr>
                <w:i/>
              </w:rPr>
              <w:t>Students completing courses in M/I will be prepared to function in an international multicultural world, or one that addresses the roles of specific ethnic or gender groups in contemporary America.</w:t>
            </w:r>
          </w:p>
        </w:tc>
        <w:tc>
          <w:tcPr>
            <w:tcW w:w="720" w:type="dxa"/>
          </w:tcPr>
          <w:p w14:paraId="2805B924" w14:textId="77777777" w:rsidR="00964CC0" w:rsidRDefault="00964CC0"/>
        </w:tc>
        <w:tc>
          <w:tcPr>
            <w:tcW w:w="659" w:type="dxa"/>
            <w:tcBorders>
              <w:right w:val="single" w:sz="4" w:space="0" w:color="000000"/>
            </w:tcBorders>
          </w:tcPr>
          <w:p w14:paraId="7E9C52CC" w14:textId="77777777" w:rsidR="00964CC0" w:rsidRDefault="00964CC0"/>
        </w:tc>
        <w:tc>
          <w:tcPr>
            <w:tcW w:w="2970" w:type="dxa"/>
            <w:tcBorders>
              <w:left w:val="single" w:sz="4" w:space="0" w:color="000000"/>
            </w:tcBorders>
          </w:tcPr>
          <w:p w14:paraId="4E214934" w14:textId="77777777" w:rsidR="00964CC0" w:rsidRDefault="00964CC0"/>
        </w:tc>
      </w:tr>
      <w:tr w:rsidR="003E15DA" w14:paraId="0A9904E6" w14:textId="77777777" w:rsidTr="00312ABC">
        <w:trPr>
          <w:trHeight w:val="323"/>
        </w:trPr>
        <w:tc>
          <w:tcPr>
            <w:tcW w:w="5580" w:type="dxa"/>
          </w:tcPr>
          <w:p w14:paraId="66B99D91" w14:textId="77777777" w:rsidR="00964CC0" w:rsidRDefault="00964CC0" w:rsidP="00964CC0">
            <w:pPr>
              <w:pStyle w:val="ListParagraph"/>
              <w:numPr>
                <w:ilvl w:val="0"/>
                <w:numId w:val="1"/>
              </w:numPr>
            </w:pPr>
            <w:r>
              <w:t>Course is clearly grounded in multicultural/ international research. Subject area content (e.g., Anthropology, Economics) provides a framework for the class so students and instructors can engage in academic conversations as a means of performing academic literacy.</w:t>
            </w:r>
          </w:p>
        </w:tc>
        <w:tc>
          <w:tcPr>
            <w:tcW w:w="720" w:type="dxa"/>
          </w:tcPr>
          <w:p w14:paraId="79DEA59B" w14:textId="77777777" w:rsidR="00964CC0" w:rsidRDefault="00964CC0"/>
        </w:tc>
        <w:tc>
          <w:tcPr>
            <w:tcW w:w="659" w:type="dxa"/>
            <w:tcBorders>
              <w:right w:val="single" w:sz="4" w:space="0" w:color="000000"/>
            </w:tcBorders>
          </w:tcPr>
          <w:p w14:paraId="6D8414A8" w14:textId="77777777" w:rsidR="00964CC0" w:rsidRDefault="00964CC0"/>
        </w:tc>
        <w:tc>
          <w:tcPr>
            <w:tcW w:w="2970" w:type="dxa"/>
            <w:tcBorders>
              <w:left w:val="single" w:sz="4" w:space="0" w:color="000000"/>
            </w:tcBorders>
          </w:tcPr>
          <w:p w14:paraId="7F1959DA" w14:textId="77777777" w:rsidR="00964CC0" w:rsidRDefault="00964CC0"/>
        </w:tc>
      </w:tr>
      <w:tr w:rsidR="003E15DA" w14:paraId="3338C131" w14:textId="77777777" w:rsidTr="00312ABC">
        <w:tc>
          <w:tcPr>
            <w:tcW w:w="5580" w:type="dxa"/>
            <w:tcBorders>
              <w:bottom w:val="single" w:sz="12" w:space="0" w:color="auto"/>
            </w:tcBorders>
          </w:tcPr>
          <w:p w14:paraId="2B5D930B" w14:textId="77777777" w:rsidR="00964CC0" w:rsidRDefault="00964CC0" w:rsidP="00B12F7B">
            <w:pPr>
              <w:pStyle w:val="ListParagraph"/>
              <w:numPr>
                <w:ilvl w:val="0"/>
                <w:numId w:val="1"/>
              </w:numPr>
            </w:pPr>
            <w:r>
              <w:t xml:space="preserve">Students must complete a writing requirement of at least 2,000 words. </w:t>
            </w:r>
            <w:r w:rsidR="003E15DA">
              <w:t>This</w:t>
            </w:r>
            <w:r>
              <w:t xml:space="preserve"> requirement can be met in whatever manner faculty deem most suitable (e.g., multiple </w:t>
            </w:r>
            <w:r w:rsidR="005C0D92">
              <w:t>assignments</w:t>
            </w:r>
            <w:r>
              <w:t xml:space="preserve"> totaling at least 2,000 words), but an opportunity must be provided for meaningful feedback to students about their writing. 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3FDEDC45" w14:textId="77777777" w:rsidR="00964CC0" w:rsidRDefault="00964CC0"/>
        </w:tc>
        <w:tc>
          <w:tcPr>
            <w:tcW w:w="659" w:type="dxa"/>
            <w:tcBorders>
              <w:bottom w:val="single" w:sz="12" w:space="0" w:color="auto"/>
              <w:right w:val="single" w:sz="4" w:space="0" w:color="000000"/>
            </w:tcBorders>
          </w:tcPr>
          <w:p w14:paraId="63B523A6" w14:textId="77777777" w:rsidR="00964CC0" w:rsidRDefault="00964CC0"/>
        </w:tc>
        <w:tc>
          <w:tcPr>
            <w:tcW w:w="2970" w:type="dxa"/>
            <w:tcBorders>
              <w:left w:val="single" w:sz="4" w:space="0" w:color="000000"/>
              <w:bottom w:val="single" w:sz="12" w:space="0" w:color="auto"/>
            </w:tcBorders>
          </w:tcPr>
          <w:p w14:paraId="37257651" w14:textId="77777777" w:rsidR="00964CC0" w:rsidRDefault="00964CC0"/>
        </w:tc>
      </w:tr>
      <w:tr w:rsidR="003E15DA" w14:paraId="0B5DF751" w14:textId="77777777" w:rsidTr="00312ABC">
        <w:tc>
          <w:tcPr>
            <w:tcW w:w="992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23583E62" w14:textId="77777777" w:rsidR="003E15DA" w:rsidRDefault="003E15DA" w:rsidP="003E15DA">
            <w:pPr>
              <w:jc w:val="center"/>
            </w:pPr>
            <w:r>
              <w:t>M/I SUBCOMMITTEE</w:t>
            </w:r>
          </w:p>
        </w:tc>
      </w:tr>
      <w:tr w:rsidR="003E15DA" w14:paraId="15F514D2" w14:textId="77777777" w:rsidTr="00312ABC">
        <w:tc>
          <w:tcPr>
            <w:tcW w:w="5580" w:type="dxa"/>
            <w:tcBorders>
              <w:top w:val="single" w:sz="12" w:space="0" w:color="auto"/>
            </w:tcBorders>
          </w:tcPr>
          <w:p w14:paraId="2EE59D5E" w14:textId="44FA992B" w:rsidR="003E15DA" w:rsidRDefault="00DC155C" w:rsidP="003E15DA">
            <w:pPr>
              <w:pStyle w:val="ListParagraph"/>
              <w:numPr>
                <w:ilvl w:val="0"/>
                <w:numId w:val="2"/>
              </w:numPr>
            </w:pPr>
            <w:r>
              <w:t>Multiple l</w:t>
            </w:r>
            <w:r w:rsidR="003E15DA">
              <w:t xml:space="preserve">earning objectives are multicultural and/or international in focus. 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39D2E8CE" w14:textId="77777777" w:rsidR="003E15DA" w:rsidRDefault="003E15DA" w:rsidP="00797FAC"/>
        </w:tc>
        <w:tc>
          <w:tcPr>
            <w:tcW w:w="659" w:type="dxa"/>
            <w:tcBorders>
              <w:top w:val="single" w:sz="12" w:space="0" w:color="auto"/>
              <w:right w:val="single" w:sz="4" w:space="0" w:color="000000"/>
            </w:tcBorders>
          </w:tcPr>
          <w:p w14:paraId="6B39EF84" w14:textId="77777777" w:rsidR="003E15DA" w:rsidRDefault="003E15DA" w:rsidP="00797FAC"/>
        </w:tc>
        <w:tc>
          <w:tcPr>
            <w:tcW w:w="2970" w:type="dxa"/>
            <w:tcBorders>
              <w:top w:val="single" w:sz="12" w:space="0" w:color="auto"/>
              <w:left w:val="single" w:sz="4" w:space="0" w:color="000000"/>
            </w:tcBorders>
          </w:tcPr>
          <w:p w14:paraId="28A67C23" w14:textId="77777777" w:rsidR="003E15DA" w:rsidRDefault="003E15DA" w:rsidP="00797FAC"/>
        </w:tc>
      </w:tr>
      <w:tr w:rsidR="003E15DA" w14:paraId="290E9C01" w14:textId="77777777" w:rsidTr="00312ABC">
        <w:tc>
          <w:tcPr>
            <w:tcW w:w="5580" w:type="dxa"/>
          </w:tcPr>
          <w:p w14:paraId="762C886A" w14:textId="05E300EA" w:rsidR="003E15DA" w:rsidRDefault="00312ABC" w:rsidP="00797FAC">
            <w:pPr>
              <w:pStyle w:val="ListParagraph"/>
              <w:numPr>
                <w:ilvl w:val="0"/>
                <w:numId w:val="2"/>
              </w:numPr>
            </w:pPr>
            <w:r>
              <w:t>The majority of c</w:t>
            </w:r>
            <w:r w:rsidR="003E15DA">
              <w:t>ourse materials and texts</w:t>
            </w:r>
            <w:r>
              <w:t xml:space="preserve"> focus on </w:t>
            </w:r>
            <w:r w:rsidR="003E15DA">
              <w:t>multicultur</w:t>
            </w:r>
            <w:r>
              <w:t>al and/or international issues or topics.</w:t>
            </w:r>
          </w:p>
        </w:tc>
        <w:tc>
          <w:tcPr>
            <w:tcW w:w="720" w:type="dxa"/>
          </w:tcPr>
          <w:p w14:paraId="257A3954" w14:textId="77777777" w:rsidR="003E15DA" w:rsidRDefault="003E15DA" w:rsidP="00797FAC"/>
        </w:tc>
        <w:tc>
          <w:tcPr>
            <w:tcW w:w="659" w:type="dxa"/>
            <w:tcBorders>
              <w:right w:val="single" w:sz="4" w:space="0" w:color="000000"/>
            </w:tcBorders>
          </w:tcPr>
          <w:p w14:paraId="5CF617DE" w14:textId="77777777" w:rsidR="003E15DA" w:rsidRDefault="003E15DA" w:rsidP="00797FAC"/>
        </w:tc>
        <w:tc>
          <w:tcPr>
            <w:tcW w:w="2970" w:type="dxa"/>
            <w:tcBorders>
              <w:left w:val="single" w:sz="4" w:space="0" w:color="000000"/>
            </w:tcBorders>
          </w:tcPr>
          <w:p w14:paraId="67FE7D02" w14:textId="77777777" w:rsidR="003E15DA" w:rsidRDefault="003E15DA" w:rsidP="00797FAC"/>
        </w:tc>
      </w:tr>
      <w:tr w:rsidR="003E15DA" w14:paraId="6922BCB6" w14:textId="77777777" w:rsidTr="00312ABC">
        <w:tc>
          <w:tcPr>
            <w:tcW w:w="5580" w:type="dxa"/>
          </w:tcPr>
          <w:p w14:paraId="3083A9E1" w14:textId="77777777" w:rsidR="003E15DA" w:rsidRDefault="003E15DA" w:rsidP="00797FAC">
            <w:pPr>
              <w:pStyle w:val="ListParagraph"/>
              <w:numPr>
                <w:ilvl w:val="0"/>
                <w:numId w:val="2"/>
              </w:numPr>
            </w:pPr>
            <w:r>
              <w:t>Course includes rigorous, meaningful assignments that are clearly related to multicultural and/or international content.</w:t>
            </w:r>
          </w:p>
        </w:tc>
        <w:tc>
          <w:tcPr>
            <w:tcW w:w="720" w:type="dxa"/>
          </w:tcPr>
          <w:p w14:paraId="4618FC92" w14:textId="77777777" w:rsidR="003E15DA" w:rsidRDefault="003E15DA" w:rsidP="00797FAC"/>
        </w:tc>
        <w:tc>
          <w:tcPr>
            <w:tcW w:w="659" w:type="dxa"/>
            <w:tcBorders>
              <w:right w:val="single" w:sz="4" w:space="0" w:color="000000"/>
            </w:tcBorders>
          </w:tcPr>
          <w:p w14:paraId="479E5317" w14:textId="77777777" w:rsidR="003E15DA" w:rsidRDefault="003E15DA" w:rsidP="00797FAC"/>
        </w:tc>
        <w:tc>
          <w:tcPr>
            <w:tcW w:w="2970" w:type="dxa"/>
            <w:tcBorders>
              <w:left w:val="single" w:sz="4" w:space="0" w:color="000000"/>
            </w:tcBorders>
          </w:tcPr>
          <w:p w14:paraId="1FE68255" w14:textId="77777777" w:rsidR="003E15DA" w:rsidRDefault="003E15DA" w:rsidP="00797FAC"/>
        </w:tc>
      </w:tr>
      <w:tr w:rsidR="003E15DA" w14:paraId="32D35B1C" w14:textId="77777777" w:rsidTr="00312ABC">
        <w:tc>
          <w:tcPr>
            <w:tcW w:w="5580" w:type="dxa"/>
          </w:tcPr>
          <w:p w14:paraId="74AE770B" w14:textId="2AF4AC03" w:rsidR="003E15DA" w:rsidRDefault="003E15DA" w:rsidP="00312ABC">
            <w:pPr>
              <w:pStyle w:val="ListParagraph"/>
              <w:numPr>
                <w:ilvl w:val="0"/>
                <w:numId w:val="2"/>
              </w:numPr>
            </w:pPr>
            <w:r>
              <w:t xml:space="preserve">Proposal </w:t>
            </w:r>
            <w:r w:rsidR="00C96D8F">
              <w:t>indicates</w:t>
            </w:r>
            <w:r>
              <w:t xml:space="preserve"> who will teach this course and their qualifications to teach it</w:t>
            </w:r>
            <w:r w:rsidR="00312ABC">
              <w:t xml:space="preserve"> (e.g., M/I-related research, teaching experience, and/or professional or community service). Evidence provided demonstrates the</w:t>
            </w:r>
            <w:r>
              <w:t xml:space="preserve"> faculty member’s multicultural </w:t>
            </w:r>
            <w:r w:rsidR="00312ABC">
              <w:t>and/or international expertise.</w:t>
            </w:r>
          </w:p>
        </w:tc>
        <w:tc>
          <w:tcPr>
            <w:tcW w:w="720" w:type="dxa"/>
          </w:tcPr>
          <w:p w14:paraId="6419D489" w14:textId="77777777" w:rsidR="003E15DA" w:rsidRDefault="003E15DA" w:rsidP="00797FAC"/>
        </w:tc>
        <w:tc>
          <w:tcPr>
            <w:tcW w:w="659" w:type="dxa"/>
            <w:tcBorders>
              <w:right w:val="single" w:sz="4" w:space="0" w:color="000000"/>
            </w:tcBorders>
          </w:tcPr>
          <w:p w14:paraId="4DFB6934" w14:textId="77777777" w:rsidR="003E15DA" w:rsidRDefault="003E15DA" w:rsidP="00797FAC"/>
        </w:tc>
        <w:tc>
          <w:tcPr>
            <w:tcW w:w="2970" w:type="dxa"/>
            <w:tcBorders>
              <w:left w:val="single" w:sz="4" w:space="0" w:color="000000"/>
            </w:tcBorders>
          </w:tcPr>
          <w:p w14:paraId="40FFDD23" w14:textId="77777777" w:rsidR="003E15DA" w:rsidRDefault="003E15DA" w:rsidP="00797FAC"/>
        </w:tc>
      </w:tr>
    </w:tbl>
    <w:p w14:paraId="715B2161" w14:textId="19C01FFF" w:rsidR="00964CC0" w:rsidRDefault="00312ABC">
      <w:pPr>
        <w:rPr>
          <w:sz w:val="22"/>
        </w:rPr>
      </w:pPr>
      <w:r>
        <w:rPr>
          <w:b/>
          <w:sz w:val="22"/>
        </w:rPr>
        <w:lastRenderedPageBreak/>
        <w:t xml:space="preserve">*APM 217 </w:t>
      </w:r>
      <w:r w:rsidR="00C96D8F">
        <w:rPr>
          <w:b/>
          <w:sz w:val="22"/>
        </w:rPr>
        <w:t xml:space="preserve">NOTE: </w:t>
      </w:r>
      <w:r w:rsidR="00964CC0" w:rsidRPr="003E15DA">
        <w:rPr>
          <w:sz w:val="22"/>
        </w:rPr>
        <w:t xml:space="preserve">All M/I courses can be </w:t>
      </w:r>
      <w:proofErr w:type="gramStart"/>
      <w:r w:rsidR="00964CC0" w:rsidRPr="003E15DA">
        <w:rPr>
          <w:sz w:val="22"/>
        </w:rPr>
        <w:t>double-counted</w:t>
      </w:r>
      <w:proofErr w:type="gramEnd"/>
      <w:r w:rsidR="00964CC0" w:rsidRPr="003E15DA">
        <w:rPr>
          <w:sz w:val="22"/>
        </w:rPr>
        <w:t xml:space="preserve"> for major requirements if a course is both M/I and a major required course or elective. Departments with an M/I course may require an M/I course be taken outside of the major department.</w:t>
      </w:r>
    </w:p>
    <w:p w14:paraId="501C68C5" w14:textId="77777777" w:rsidR="00C96D8F" w:rsidRPr="00C96D8F" w:rsidRDefault="00C96D8F">
      <w:pPr>
        <w:rPr>
          <w:b/>
          <w:sz w:val="6"/>
        </w:rPr>
      </w:pPr>
    </w:p>
    <w:p w14:paraId="6CEC2202" w14:textId="7A98423D" w:rsidR="005C0D92" w:rsidRPr="003E15DA" w:rsidRDefault="00312ABC">
      <w:pPr>
        <w:rPr>
          <w:sz w:val="22"/>
        </w:rPr>
      </w:pPr>
      <w:r>
        <w:rPr>
          <w:b/>
          <w:sz w:val="22"/>
        </w:rPr>
        <w:t xml:space="preserve">*APM 217 </w:t>
      </w:r>
      <w:r w:rsidR="00C96D8F" w:rsidRPr="00C96D8F">
        <w:rPr>
          <w:b/>
          <w:sz w:val="22"/>
        </w:rPr>
        <w:t>NOTE:</w:t>
      </w:r>
      <w:r w:rsidR="00C96D8F">
        <w:rPr>
          <w:sz w:val="22"/>
        </w:rPr>
        <w:t xml:space="preserve"> </w:t>
      </w:r>
      <w:r w:rsidR="00964CC0" w:rsidRPr="003E15DA">
        <w:rPr>
          <w:sz w:val="22"/>
        </w:rPr>
        <w:t xml:space="preserve">M/I </w:t>
      </w:r>
      <w:proofErr w:type="gramStart"/>
      <w:r w:rsidR="00964CC0" w:rsidRPr="003E15DA">
        <w:rPr>
          <w:sz w:val="22"/>
        </w:rPr>
        <w:t>courses</w:t>
      </w:r>
      <w:proofErr w:type="gramEnd"/>
      <w:r w:rsidR="00964CC0" w:rsidRPr="003E15DA">
        <w:rPr>
          <w:sz w:val="22"/>
        </w:rPr>
        <w:t xml:space="preserve"> can be taken no sooner than the term in which 60 units of coursework are completed, including the completion of GE Foundation and Area E courses.</w:t>
      </w:r>
    </w:p>
    <w:sectPr w:rsidR="005C0D92" w:rsidRPr="003E15DA" w:rsidSect="003E15DA">
      <w:footerReference w:type="even" r:id="rId7"/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040E6" w14:textId="77777777" w:rsidR="00E734F4" w:rsidRDefault="00E734F4" w:rsidP="00B96A42">
      <w:r>
        <w:separator/>
      </w:r>
    </w:p>
  </w:endnote>
  <w:endnote w:type="continuationSeparator" w:id="0">
    <w:p w14:paraId="1C20104B" w14:textId="77777777" w:rsidR="00E734F4" w:rsidRDefault="00E734F4" w:rsidP="00B96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61219" w14:textId="77777777" w:rsidR="00B96A42" w:rsidRDefault="00B96A42" w:rsidP="003D365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E3822E" w14:textId="77777777" w:rsidR="00B96A42" w:rsidRDefault="00B96A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713A6" w14:textId="77777777" w:rsidR="00B96A42" w:rsidRPr="00B96A42" w:rsidRDefault="00B96A42" w:rsidP="003D3659">
    <w:pPr>
      <w:pStyle w:val="Footer"/>
      <w:framePr w:wrap="none" w:vAnchor="text" w:hAnchor="margin" w:xAlign="center" w:y="1"/>
      <w:rPr>
        <w:rStyle w:val="PageNumber"/>
        <w:sz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5A1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02D94B" w14:textId="77777777" w:rsidR="00B96A42" w:rsidRDefault="00B96A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17F12" w14:textId="77777777" w:rsidR="00E734F4" w:rsidRDefault="00E734F4" w:rsidP="00B96A42">
      <w:r>
        <w:separator/>
      </w:r>
    </w:p>
  </w:footnote>
  <w:footnote w:type="continuationSeparator" w:id="0">
    <w:p w14:paraId="66B53663" w14:textId="77777777" w:rsidR="00E734F4" w:rsidRDefault="00E734F4" w:rsidP="00B96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43B1"/>
    <w:multiLevelType w:val="hybridMultilevel"/>
    <w:tmpl w:val="9DB84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62CA2"/>
    <w:multiLevelType w:val="hybridMultilevel"/>
    <w:tmpl w:val="9DB84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CC0"/>
    <w:rsid w:val="000D710C"/>
    <w:rsid w:val="001752EB"/>
    <w:rsid w:val="002B5A1A"/>
    <w:rsid w:val="00312ABC"/>
    <w:rsid w:val="003E15DA"/>
    <w:rsid w:val="00477B5E"/>
    <w:rsid w:val="004D4C97"/>
    <w:rsid w:val="005C0D92"/>
    <w:rsid w:val="00635B3E"/>
    <w:rsid w:val="0075572E"/>
    <w:rsid w:val="00964CC0"/>
    <w:rsid w:val="00AE33E7"/>
    <w:rsid w:val="00B12F7B"/>
    <w:rsid w:val="00B96A42"/>
    <w:rsid w:val="00C96D8F"/>
    <w:rsid w:val="00DC155C"/>
    <w:rsid w:val="00E7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5F7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4CC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96A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A42"/>
  </w:style>
  <w:style w:type="character" w:styleId="PageNumber">
    <w:name w:val="page number"/>
    <w:basedOn w:val="DefaultParagraphFont"/>
    <w:uiPriority w:val="99"/>
    <w:semiHidden/>
    <w:unhideWhenUsed/>
    <w:rsid w:val="00B96A42"/>
  </w:style>
  <w:style w:type="paragraph" w:styleId="Header">
    <w:name w:val="header"/>
    <w:basedOn w:val="Normal"/>
    <w:link w:val="HeaderChar"/>
    <w:uiPriority w:val="99"/>
    <w:unhideWhenUsed/>
    <w:rsid w:val="00B96A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McKenzie</dc:creator>
  <cp:keywords/>
  <dc:description/>
  <cp:lastModifiedBy>Venita Baker</cp:lastModifiedBy>
  <cp:revision>2</cp:revision>
  <cp:lastPrinted>2020-03-11T16:42:00Z</cp:lastPrinted>
  <dcterms:created xsi:type="dcterms:W3CDTF">2020-09-21T16:26:00Z</dcterms:created>
  <dcterms:modified xsi:type="dcterms:W3CDTF">2020-09-21T16:26:00Z</dcterms:modified>
</cp:coreProperties>
</file>